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487F4" w14:textId="77777777" w:rsidR="00115839" w:rsidRPr="0043191B" w:rsidRDefault="00115839" w:rsidP="00115839">
      <w:pPr>
        <w:pStyle w:val="Heading1"/>
        <w:rPr>
          <w:b/>
          <w:i/>
          <w:sz w:val="24"/>
          <w:szCs w:val="24"/>
        </w:rPr>
      </w:pPr>
      <w:bookmarkStart w:id="0" w:name="_GoBack"/>
      <w:bookmarkEnd w:id="0"/>
    </w:p>
    <w:tbl>
      <w:tblPr>
        <w:tblpPr w:leftFromText="187" w:rightFromText="187" w:topFromText="288" w:bottomFromText="288" w:vertAnchor="text" w:tblpXSpec="center"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right w:w="43" w:type="dxa"/>
        </w:tblCellMar>
        <w:tblLook w:val="04A0" w:firstRow="1" w:lastRow="0" w:firstColumn="1" w:lastColumn="0" w:noHBand="0" w:noVBand="1"/>
      </w:tblPr>
      <w:tblGrid>
        <w:gridCol w:w="2199"/>
        <w:gridCol w:w="5623"/>
        <w:gridCol w:w="1983"/>
      </w:tblGrid>
      <w:tr w:rsidR="00115839" w:rsidRPr="0043191B" w14:paraId="6A61FD88" w14:textId="77777777" w:rsidTr="000E2560">
        <w:trPr>
          <w:cantSplit/>
          <w:trHeight w:val="2018"/>
        </w:trPr>
        <w:tc>
          <w:tcPr>
            <w:tcW w:w="2199" w:type="dxa"/>
            <w:tcBorders>
              <w:top w:val="single" w:sz="4" w:space="0" w:color="auto"/>
              <w:left w:val="single" w:sz="4" w:space="0" w:color="auto"/>
              <w:bottom w:val="single" w:sz="4" w:space="0" w:color="auto"/>
              <w:right w:val="single" w:sz="4" w:space="0" w:color="auto"/>
            </w:tcBorders>
            <w:hideMark/>
          </w:tcPr>
          <w:p w14:paraId="55506020" w14:textId="0F97A974" w:rsidR="00115839" w:rsidRPr="0043191B" w:rsidRDefault="00115839" w:rsidP="000E2560">
            <w:pPr>
              <w:pStyle w:val="Heading3"/>
              <w:spacing w:before="180" w:line="257" w:lineRule="auto"/>
              <w:ind w:left="-720"/>
              <w:rPr>
                <w:szCs w:val="24"/>
              </w:rPr>
            </w:pPr>
            <w:r w:rsidRPr="0043191B">
              <w:rPr>
                <w:noProof/>
                <w:szCs w:val="24"/>
              </w:rPr>
              <w:drawing>
                <wp:inline distT="0" distB="0" distL="0" distR="0" wp14:anchorId="54F00675" wp14:editId="3F99EFF7">
                  <wp:extent cx="1318260" cy="960120"/>
                  <wp:effectExtent l="0" t="0" r="0" b="0"/>
                  <wp:docPr id="4" name="Picture 4" descr="U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260" cy="960120"/>
                          </a:xfrm>
                          <a:prstGeom prst="rect">
                            <a:avLst/>
                          </a:prstGeom>
                          <a:noFill/>
                          <a:ln>
                            <a:noFill/>
                          </a:ln>
                        </pic:spPr>
                      </pic:pic>
                    </a:graphicData>
                  </a:graphic>
                </wp:inline>
              </w:drawing>
            </w:r>
          </w:p>
        </w:tc>
        <w:tc>
          <w:tcPr>
            <w:tcW w:w="5623" w:type="dxa"/>
            <w:tcBorders>
              <w:top w:val="single" w:sz="4" w:space="0" w:color="auto"/>
              <w:left w:val="single" w:sz="4" w:space="0" w:color="auto"/>
              <w:bottom w:val="single" w:sz="4" w:space="0" w:color="auto"/>
              <w:right w:val="single" w:sz="4" w:space="0" w:color="auto"/>
            </w:tcBorders>
          </w:tcPr>
          <w:p w14:paraId="07848638" w14:textId="77777777" w:rsidR="00115839" w:rsidRPr="0043191B" w:rsidRDefault="00115839" w:rsidP="000E2560">
            <w:pPr>
              <w:pStyle w:val="Heading5"/>
              <w:spacing w:line="256" w:lineRule="auto"/>
              <w:rPr>
                <w:szCs w:val="24"/>
              </w:rPr>
            </w:pPr>
            <w:r w:rsidRPr="0043191B">
              <w:rPr>
                <w:szCs w:val="24"/>
              </w:rPr>
              <w:t xml:space="preserve"> </w:t>
            </w:r>
          </w:p>
          <w:p w14:paraId="6DB81C81" w14:textId="77777777" w:rsidR="00115839" w:rsidRPr="0043191B" w:rsidRDefault="00115839" w:rsidP="00115839">
            <w:pPr>
              <w:pStyle w:val="Heading5"/>
              <w:rPr>
                <w:szCs w:val="24"/>
              </w:rPr>
            </w:pPr>
            <w:r w:rsidRPr="0043191B">
              <w:rPr>
                <w:szCs w:val="24"/>
              </w:rPr>
              <w:t>Enterprise Standard (ES)-29114</w:t>
            </w:r>
          </w:p>
          <w:p w14:paraId="4B2A6438" w14:textId="77777777" w:rsidR="00115839" w:rsidRPr="0043191B" w:rsidRDefault="00115839" w:rsidP="00115839">
            <w:pPr>
              <w:pStyle w:val="Heading5"/>
              <w:rPr>
                <w:szCs w:val="24"/>
              </w:rPr>
            </w:pPr>
          </w:p>
          <w:p w14:paraId="34538CCA" w14:textId="77777777" w:rsidR="00115839" w:rsidRPr="0043191B" w:rsidRDefault="00115839" w:rsidP="00115839">
            <w:pPr>
              <w:pStyle w:val="Heading5"/>
              <w:rPr>
                <w:szCs w:val="24"/>
              </w:rPr>
            </w:pPr>
            <w:r w:rsidRPr="0043191B">
              <w:rPr>
                <w:szCs w:val="24"/>
              </w:rPr>
              <w:t>Financial Liability Investigation of Property Loss (FLIPL)</w:t>
            </w:r>
          </w:p>
          <w:p w14:paraId="48F35537" w14:textId="1687AB02" w:rsidR="00115839" w:rsidRPr="0043191B" w:rsidRDefault="00115839" w:rsidP="00115839">
            <w:pPr>
              <w:pStyle w:val="Heading5"/>
              <w:spacing w:line="480" w:lineRule="auto"/>
              <w:jc w:val="left"/>
              <w:rPr>
                <w:szCs w:val="24"/>
              </w:rPr>
            </w:pPr>
          </w:p>
          <w:p w14:paraId="3A18F0F4" w14:textId="77777777" w:rsidR="00115839" w:rsidRPr="0043191B" w:rsidRDefault="00115839" w:rsidP="000E2560">
            <w:pPr>
              <w:spacing w:line="256" w:lineRule="auto"/>
              <w:jc w:val="center"/>
              <w:rPr>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9E0A68A" w14:textId="69BED00E" w:rsidR="00115839" w:rsidRPr="0043191B" w:rsidRDefault="00115839" w:rsidP="000E2560">
            <w:pPr>
              <w:spacing w:before="120" w:after="120" w:line="240" w:lineRule="exact"/>
              <w:jc w:val="center"/>
              <w:rPr>
                <w:b/>
                <w:szCs w:val="24"/>
              </w:rPr>
            </w:pPr>
            <w:r w:rsidRPr="0043191B">
              <w:rPr>
                <w:noProof/>
                <w:szCs w:val="24"/>
              </w:rPr>
              <w:drawing>
                <wp:anchor distT="0" distB="0" distL="114300" distR="114300" simplePos="0" relativeHeight="251666432" behindDoc="0" locked="0" layoutInCell="1" allowOverlap="1" wp14:anchorId="0B4E466A" wp14:editId="78C647D6">
                  <wp:simplePos x="0" y="0"/>
                  <wp:positionH relativeFrom="column">
                    <wp:posOffset>91440</wp:posOffset>
                  </wp:positionH>
                  <wp:positionV relativeFrom="paragraph">
                    <wp:posOffset>182880</wp:posOffset>
                  </wp:positionV>
                  <wp:extent cx="969010" cy="969010"/>
                  <wp:effectExtent l="0" t="0" r="2540" b="2540"/>
                  <wp:wrapSquare wrapText="bothSides"/>
                  <wp:docPr id="6" name="Picture 6" descr="L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C483ED8" w14:textId="77777777" w:rsidR="00115839" w:rsidRPr="0043191B" w:rsidRDefault="00115839" w:rsidP="00115839">
      <w:pPr>
        <w:pStyle w:val="Heading1"/>
        <w:rPr>
          <w:b/>
          <w:i/>
          <w:sz w:val="24"/>
          <w:szCs w:val="24"/>
        </w:rPr>
      </w:pPr>
      <w:r w:rsidRPr="0043191B">
        <w:rPr>
          <w:b/>
          <w:i/>
          <w:sz w:val="24"/>
          <w:szCs w:val="24"/>
        </w:rPr>
        <w:t>SUMMARY of CHANGE</w:t>
      </w:r>
    </w:p>
    <w:p w14:paraId="0A9FC8A7" w14:textId="77777777" w:rsidR="00115839" w:rsidRPr="0043191B" w:rsidRDefault="00115839" w:rsidP="00115839">
      <w:pPr>
        <w:rPr>
          <w:szCs w:val="24"/>
        </w:rPr>
      </w:pPr>
    </w:p>
    <w:p w14:paraId="2EE15C87" w14:textId="4A971BE2" w:rsidR="00115839" w:rsidRPr="0043191B" w:rsidRDefault="00115839" w:rsidP="00115839">
      <w:pPr>
        <w:rPr>
          <w:szCs w:val="24"/>
        </w:rPr>
      </w:pPr>
      <w:r w:rsidRPr="0043191B">
        <w:rPr>
          <w:szCs w:val="24"/>
        </w:rPr>
        <w:t>(ES</w:t>
      </w:r>
      <w:r w:rsidRPr="0043191B">
        <w:rPr>
          <w:b/>
          <w:szCs w:val="24"/>
        </w:rPr>
        <w:t>)-</w:t>
      </w:r>
      <w:r w:rsidR="00494E6B" w:rsidRPr="0043191B">
        <w:rPr>
          <w:szCs w:val="24"/>
        </w:rPr>
        <w:t>29114 FLIPL</w:t>
      </w:r>
      <w:r w:rsidRPr="0043191B">
        <w:rPr>
          <w:szCs w:val="24"/>
        </w:rPr>
        <w:t xml:space="preserve"> Process</w:t>
      </w:r>
    </w:p>
    <w:p w14:paraId="16A760D1" w14:textId="77777777" w:rsidR="00115839" w:rsidRPr="0043191B" w:rsidRDefault="00115839" w:rsidP="00115839">
      <w:pPr>
        <w:rPr>
          <w:szCs w:val="24"/>
        </w:rPr>
      </w:pPr>
    </w:p>
    <w:p w14:paraId="2E39E720" w14:textId="77777777" w:rsidR="00115839" w:rsidRPr="0043191B" w:rsidRDefault="00115839" w:rsidP="00115839">
      <w:pPr>
        <w:rPr>
          <w:szCs w:val="24"/>
        </w:rPr>
      </w:pPr>
      <w:r w:rsidRPr="0043191B">
        <w:rPr>
          <w:szCs w:val="24"/>
        </w:rPr>
        <w:t>This administrative revision, dated 18 MAY 2016</w:t>
      </w:r>
    </w:p>
    <w:p w14:paraId="7E648F1D" w14:textId="77777777" w:rsidR="00115839" w:rsidRPr="0043191B" w:rsidRDefault="00115839" w:rsidP="00115839">
      <w:pPr>
        <w:rPr>
          <w:szCs w:val="24"/>
        </w:rPr>
      </w:pPr>
    </w:p>
    <w:p w14:paraId="72D3393A" w14:textId="77777777" w:rsidR="00115839" w:rsidRPr="0043191B" w:rsidRDefault="00115839" w:rsidP="00115839">
      <w:pPr>
        <w:rPr>
          <w:szCs w:val="24"/>
        </w:rPr>
      </w:pPr>
      <w:r w:rsidRPr="0043191B">
        <w:rPr>
          <w:szCs w:val="24"/>
        </w:rPr>
        <w:t xml:space="preserve">Note* Changes will be indicated as the following Deletion (D), Addition (A), Correction (C), and Revision (R). </w:t>
      </w:r>
    </w:p>
    <w:p w14:paraId="2C476347" w14:textId="77777777" w:rsidR="00115839" w:rsidRPr="0043191B" w:rsidRDefault="00115839" w:rsidP="00115839">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55"/>
        <w:gridCol w:w="1003"/>
        <w:gridCol w:w="5939"/>
      </w:tblGrid>
      <w:tr w:rsidR="00115839" w:rsidRPr="0043191B" w14:paraId="796B21E2"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hideMark/>
          </w:tcPr>
          <w:p w14:paraId="49B86259" w14:textId="77777777" w:rsidR="00115839" w:rsidRPr="0043191B" w:rsidRDefault="00115839" w:rsidP="000E2560">
            <w:pPr>
              <w:rPr>
                <w:b/>
                <w:szCs w:val="24"/>
              </w:rPr>
            </w:pPr>
            <w:r w:rsidRPr="0043191B">
              <w:rPr>
                <w:b/>
                <w:szCs w:val="24"/>
              </w:rPr>
              <w:t>DATE</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41A1DC14" w14:textId="77777777" w:rsidR="00115839" w:rsidRPr="0043191B" w:rsidRDefault="00115839" w:rsidP="000E2560">
            <w:pPr>
              <w:rPr>
                <w:b/>
                <w:szCs w:val="24"/>
              </w:rPr>
            </w:pPr>
            <w:r w:rsidRPr="0043191B">
              <w:rPr>
                <w:b/>
                <w:szCs w:val="24"/>
              </w:rPr>
              <w:t>Section</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984CCBF" w14:textId="77777777" w:rsidR="00115839" w:rsidRPr="0043191B" w:rsidRDefault="00115839" w:rsidP="000E2560">
            <w:pPr>
              <w:rPr>
                <w:b/>
                <w:szCs w:val="24"/>
              </w:rPr>
            </w:pPr>
            <w:r w:rsidRPr="0043191B">
              <w:rPr>
                <w:b/>
                <w:szCs w:val="24"/>
              </w:rPr>
              <w:t xml:space="preserve">Change </w:t>
            </w:r>
          </w:p>
          <w:p w14:paraId="76AFA149" w14:textId="77777777" w:rsidR="00115839" w:rsidRPr="0043191B" w:rsidRDefault="00115839" w:rsidP="000E2560">
            <w:pPr>
              <w:rPr>
                <w:b/>
                <w:szCs w:val="24"/>
              </w:rPr>
            </w:pPr>
            <w:r w:rsidRPr="0043191B">
              <w:rPr>
                <w:b/>
                <w:szCs w:val="24"/>
              </w:rPr>
              <w:t>Type</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14:paraId="4ACB6EEC" w14:textId="77777777" w:rsidR="00115839" w:rsidRPr="0043191B" w:rsidRDefault="00115839" w:rsidP="000E2560">
            <w:pPr>
              <w:jc w:val="center"/>
              <w:rPr>
                <w:b/>
                <w:szCs w:val="24"/>
              </w:rPr>
            </w:pPr>
            <w:r w:rsidRPr="0043191B">
              <w:rPr>
                <w:b/>
                <w:szCs w:val="24"/>
              </w:rPr>
              <w:t>Change</w:t>
            </w:r>
          </w:p>
        </w:tc>
      </w:tr>
      <w:tr w:rsidR="00115839" w:rsidRPr="0043191B" w14:paraId="3044B4D7"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hideMark/>
          </w:tcPr>
          <w:p w14:paraId="1DFFC640" w14:textId="77777777" w:rsidR="00115839" w:rsidRPr="0043191B" w:rsidRDefault="00115839" w:rsidP="000E2560">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7865557F" w14:textId="0084D796" w:rsidR="00115839" w:rsidRPr="0043191B" w:rsidRDefault="001A7E12" w:rsidP="000E2560">
            <w:pPr>
              <w:jc w:val="center"/>
              <w:rPr>
                <w:szCs w:val="24"/>
              </w:rPr>
            </w:pPr>
            <w:r w:rsidRPr="0043191B">
              <w:rPr>
                <w:szCs w:val="24"/>
              </w:rPr>
              <w:t>1.0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28DD794" w14:textId="77777777" w:rsidR="00115839" w:rsidRPr="0043191B" w:rsidRDefault="00115839" w:rsidP="000E2560">
            <w:pPr>
              <w:jc w:val="center"/>
              <w:rPr>
                <w:szCs w:val="24"/>
              </w:rPr>
            </w:pPr>
            <w:r w:rsidRPr="0043191B">
              <w:rPr>
                <w:szCs w:val="24"/>
              </w:rPr>
              <w:t>R</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14:paraId="76943F13" w14:textId="0563940B" w:rsidR="00115839" w:rsidRPr="0043191B" w:rsidRDefault="001A7E12" w:rsidP="000E2560">
            <w:pPr>
              <w:tabs>
                <w:tab w:val="left" w:pos="276"/>
              </w:tabs>
              <w:rPr>
                <w:szCs w:val="24"/>
              </w:rPr>
            </w:pPr>
            <w:r w:rsidRPr="0043191B">
              <w:rPr>
                <w:szCs w:val="24"/>
              </w:rPr>
              <w:t>Updated purpose “</w:t>
            </w:r>
            <w:r w:rsidRPr="0043191B">
              <w:rPr>
                <w:spacing w:val="-4"/>
                <w:szCs w:val="24"/>
              </w:rPr>
              <w:t>To prescribe policy, procedures, responsibilities, and guidance on how to account for lost, damaged or destroyed property……”</w:t>
            </w:r>
          </w:p>
        </w:tc>
      </w:tr>
      <w:tr w:rsidR="00115839" w:rsidRPr="0043191B" w14:paraId="5AFE42D0"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hideMark/>
          </w:tcPr>
          <w:p w14:paraId="56DA562D" w14:textId="77777777" w:rsidR="00115839" w:rsidRPr="0043191B" w:rsidRDefault="00115839" w:rsidP="000E2560">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14:paraId="1128CD6C" w14:textId="3C5F7D37" w:rsidR="00115839" w:rsidRPr="0043191B" w:rsidRDefault="000457E5" w:rsidP="000457E5">
            <w:pPr>
              <w:jc w:val="center"/>
              <w:rPr>
                <w:szCs w:val="24"/>
              </w:rPr>
            </w:pPr>
            <w:r w:rsidRPr="0043191B">
              <w:rPr>
                <w:szCs w:val="24"/>
              </w:rPr>
              <w:t>3</w:t>
            </w:r>
            <w:r w:rsidR="00115839" w:rsidRPr="0043191B">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55D703D" w14:textId="652902D1" w:rsidR="00115839" w:rsidRPr="0043191B" w:rsidRDefault="000457E5" w:rsidP="000E2560">
            <w:pPr>
              <w:jc w:val="center"/>
              <w:rPr>
                <w:szCs w:val="24"/>
              </w:rPr>
            </w:pPr>
            <w:r w:rsidRPr="0043191B">
              <w:rPr>
                <w:szCs w:val="24"/>
              </w:rPr>
              <w:t>R</w:t>
            </w:r>
          </w:p>
        </w:tc>
        <w:tc>
          <w:tcPr>
            <w:tcW w:w="5939" w:type="dxa"/>
            <w:tcBorders>
              <w:top w:val="single" w:sz="4" w:space="0" w:color="auto"/>
              <w:left w:val="single" w:sz="4" w:space="0" w:color="auto"/>
              <w:bottom w:val="single" w:sz="4" w:space="0" w:color="auto"/>
              <w:right w:val="single" w:sz="4" w:space="0" w:color="auto"/>
            </w:tcBorders>
            <w:shd w:val="clear" w:color="auto" w:fill="auto"/>
            <w:hideMark/>
          </w:tcPr>
          <w:p w14:paraId="4CA7C35A" w14:textId="1866A2B7" w:rsidR="00115839" w:rsidRPr="0043191B" w:rsidRDefault="000457E5" w:rsidP="000457E5">
            <w:pPr>
              <w:rPr>
                <w:szCs w:val="24"/>
              </w:rPr>
            </w:pPr>
            <w:r w:rsidRPr="0043191B">
              <w:rPr>
                <w:szCs w:val="24"/>
              </w:rPr>
              <w:t xml:space="preserve">Updated </w:t>
            </w:r>
            <w:r w:rsidRPr="0043191B">
              <w:rPr>
                <w:bCs/>
                <w:szCs w:val="24"/>
              </w:rPr>
              <w:t>references</w:t>
            </w:r>
          </w:p>
        </w:tc>
      </w:tr>
      <w:tr w:rsidR="00115839" w:rsidRPr="0043191B" w14:paraId="51ACF244"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hideMark/>
          </w:tcPr>
          <w:p w14:paraId="67560DB6" w14:textId="77777777" w:rsidR="00115839" w:rsidRPr="0043191B" w:rsidRDefault="00115839" w:rsidP="000E2560">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B58EB63" w14:textId="3C11B74F" w:rsidR="00115839" w:rsidRPr="0043191B" w:rsidRDefault="00C4369A" w:rsidP="000E2560">
            <w:pPr>
              <w:jc w:val="center"/>
              <w:rPr>
                <w:szCs w:val="24"/>
              </w:rPr>
            </w:pPr>
            <w:r w:rsidRPr="0043191B">
              <w:rPr>
                <w:szCs w:val="24"/>
              </w:rPr>
              <w:t>5.1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D4B20DC" w14:textId="0EB2283F" w:rsidR="00115839" w:rsidRPr="0043191B" w:rsidRDefault="00C4369A" w:rsidP="000E2560">
            <w:pPr>
              <w:jc w:val="center"/>
              <w:rPr>
                <w:szCs w:val="24"/>
              </w:rPr>
            </w:pPr>
            <w:r w:rsidRPr="0043191B">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56388757" w14:textId="3D562E5B" w:rsidR="00115839" w:rsidRPr="0043191B" w:rsidRDefault="00C4369A" w:rsidP="000E2560">
            <w:pPr>
              <w:rPr>
                <w:szCs w:val="24"/>
              </w:rPr>
            </w:pPr>
            <w:r w:rsidRPr="0043191B">
              <w:rPr>
                <w:szCs w:val="24"/>
              </w:rPr>
              <w:t>Added definition “damage”</w:t>
            </w:r>
          </w:p>
        </w:tc>
      </w:tr>
      <w:tr w:rsidR="00C4369A" w:rsidRPr="0043191B" w14:paraId="696BC0C5"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72D6F67D"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BBB06CE" w14:textId="3430EB1C" w:rsidR="00C4369A" w:rsidRPr="0043191B" w:rsidRDefault="00C4369A" w:rsidP="00C4369A">
            <w:pPr>
              <w:jc w:val="center"/>
              <w:rPr>
                <w:szCs w:val="24"/>
              </w:rPr>
            </w:pPr>
            <w:r w:rsidRPr="0043191B">
              <w:rPr>
                <w:szCs w:val="24"/>
              </w:rPr>
              <w:t>5.2</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100EE2C" w14:textId="5F35E11B" w:rsidR="00C4369A" w:rsidRPr="0043191B" w:rsidRDefault="00C4369A" w:rsidP="00C4369A">
            <w:pPr>
              <w:jc w:val="center"/>
              <w:rPr>
                <w:szCs w:val="24"/>
              </w:rPr>
            </w:pPr>
            <w:r w:rsidRPr="0043191B">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BBDBF96" w14:textId="7E333716" w:rsidR="00C4369A" w:rsidRPr="0043191B" w:rsidRDefault="00C4369A" w:rsidP="00C4369A">
            <w:pPr>
              <w:rPr>
                <w:szCs w:val="24"/>
              </w:rPr>
            </w:pPr>
            <w:r w:rsidRPr="0043191B">
              <w:rPr>
                <w:szCs w:val="24"/>
              </w:rPr>
              <w:t>Added definition “destroy”</w:t>
            </w:r>
          </w:p>
        </w:tc>
      </w:tr>
      <w:tr w:rsidR="00C4369A" w:rsidRPr="0043191B" w14:paraId="6A72E046"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65CF3954"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9D73DB5" w14:textId="62813FB2" w:rsidR="00C4369A" w:rsidRPr="0043191B" w:rsidRDefault="00C4369A" w:rsidP="00C4369A">
            <w:pPr>
              <w:jc w:val="center"/>
              <w:rPr>
                <w:szCs w:val="24"/>
              </w:rPr>
            </w:pPr>
            <w:r w:rsidRPr="0043191B">
              <w:rPr>
                <w:szCs w:val="24"/>
              </w:rPr>
              <w:t>5.3</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1671BB3" w14:textId="3109B9E0" w:rsidR="00C4369A" w:rsidRPr="0043191B" w:rsidRDefault="00C4369A" w:rsidP="00C4369A">
            <w:pPr>
              <w:jc w:val="center"/>
              <w:rPr>
                <w:szCs w:val="24"/>
              </w:rPr>
            </w:pPr>
            <w:r w:rsidRPr="0043191B">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5B9E7ECA" w14:textId="3F3688EF" w:rsidR="00C4369A" w:rsidRPr="0043191B" w:rsidRDefault="00C4369A" w:rsidP="00C4369A">
            <w:pPr>
              <w:rPr>
                <w:szCs w:val="24"/>
              </w:rPr>
            </w:pPr>
            <w:r w:rsidRPr="0043191B">
              <w:rPr>
                <w:szCs w:val="24"/>
              </w:rPr>
              <w:t>Added definition “</w:t>
            </w:r>
            <w:r w:rsidRPr="0043191B">
              <w:rPr>
                <w:bCs/>
                <w:szCs w:val="24"/>
              </w:rPr>
              <w:t>Fair wear and tear”</w:t>
            </w:r>
          </w:p>
        </w:tc>
      </w:tr>
      <w:tr w:rsidR="00C4369A" w:rsidRPr="0043191B" w14:paraId="657686C3"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5412D5EA"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1A54ED7" w14:textId="1B76FEDD" w:rsidR="00C4369A" w:rsidRPr="0043191B" w:rsidRDefault="00C4369A" w:rsidP="00C4369A">
            <w:pPr>
              <w:jc w:val="center"/>
              <w:rPr>
                <w:szCs w:val="24"/>
              </w:rPr>
            </w:pPr>
            <w:r w:rsidRPr="0043191B">
              <w:rPr>
                <w:szCs w:val="24"/>
              </w:rPr>
              <w:t>5.4</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DCE9054" w14:textId="5D2CA3E2" w:rsidR="00C4369A" w:rsidRPr="0043191B" w:rsidRDefault="00C4369A" w:rsidP="00C4369A">
            <w:pPr>
              <w:jc w:val="center"/>
              <w:rPr>
                <w:szCs w:val="24"/>
              </w:rPr>
            </w:pPr>
            <w:r w:rsidRPr="0043191B">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2883DB08" w14:textId="2C0FA09E" w:rsidR="00C4369A" w:rsidRPr="0043191B" w:rsidRDefault="00C4369A" w:rsidP="00C4369A">
            <w:pPr>
              <w:rPr>
                <w:szCs w:val="24"/>
              </w:rPr>
            </w:pPr>
            <w:r w:rsidRPr="0043191B">
              <w:rPr>
                <w:szCs w:val="24"/>
              </w:rPr>
              <w:t>Added definition “</w:t>
            </w:r>
            <w:r w:rsidRPr="0043191B">
              <w:rPr>
                <w:bCs/>
                <w:szCs w:val="24"/>
              </w:rPr>
              <w:t>Financial liability”</w:t>
            </w:r>
          </w:p>
        </w:tc>
      </w:tr>
      <w:tr w:rsidR="00C4369A" w:rsidRPr="0043191B" w14:paraId="11833B07"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0F1CE446"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26E0774" w14:textId="366EC6FE" w:rsidR="00C4369A" w:rsidRPr="0043191B" w:rsidRDefault="00C4369A" w:rsidP="00C4369A">
            <w:pPr>
              <w:jc w:val="center"/>
              <w:rPr>
                <w:szCs w:val="24"/>
              </w:rPr>
            </w:pPr>
            <w:r w:rsidRPr="0043191B">
              <w:rPr>
                <w:szCs w:val="24"/>
              </w:rPr>
              <w:t>5.5</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220C58F" w14:textId="14980951" w:rsidR="00C4369A" w:rsidRPr="0043191B" w:rsidRDefault="00C4369A" w:rsidP="00C4369A">
            <w:pPr>
              <w:jc w:val="center"/>
              <w:rPr>
                <w:szCs w:val="24"/>
              </w:rPr>
            </w:pPr>
            <w:r w:rsidRPr="0043191B">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2E47BF50" w14:textId="3139A202" w:rsidR="00C4369A" w:rsidRPr="0043191B" w:rsidRDefault="00C4369A" w:rsidP="00C4369A">
            <w:pPr>
              <w:rPr>
                <w:szCs w:val="24"/>
              </w:rPr>
            </w:pPr>
            <w:r w:rsidRPr="0043191B">
              <w:rPr>
                <w:szCs w:val="24"/>
              </w:rPr>
              <w:t>Added definition “Negligence”</w:t>
            </w:r>
          </w:p>
        </w:tc>
      </w:tr>
      <w:tr w:rsidR="00C4369A" w:rsidRPr="0043191B" w14:paraId="325E1F9C"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727C42A6"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15C29B" w14:textId="3B478513" w:rsidR="00C4369A" w:rsidRPr="0043191B" w:rsidRDefault="00D378D8" w:rsidP="00C4369A">
            <w:pPr>
              <w:jc w:val="center"/>
              <w:rPr>
                <w:szCs w:val="24"/>
              </w:rPr>
            </w:pPr>
            <w:r>
              <w:rPr>
                <w:szCs w:val="24"/>
              </w:rPr>
              <w:t>6.0-6.7</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1D78827" w14:textId="41C8F38F" w:rsidR="00C4369A" w:rsidRPr="0043191B" w:rsidRDefault="00D378D8" w:rsidP="00C4369A">
            <w:pPr>
              <w:jc w:val="center"/>
              <w:rPr>
                <w:szCs w:val="24"/>
              </w:rPr>
            </w:pPr>
            <w:r>
              <w:rPr>
                <w:szCs w:val="24"/>
              </w:rPr>
              <w:t>R</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748F23D2" w14:textId="55347DA1" w:rsidR="00C4369A" w:rsidRPr="0043191B" w:rsidRDefault="00D378D8" w:rsidP="00C4369A">
            <w:pPr>
              <w:rPr>
                <w:szCs w:val="24"/>
              </w:rPr>
            </w:pPr>
            <w:r>
              <w:rPr>
                <w:szCs w:val="24"/>
              </w:rPr>
              <w:t>Updated format/content</w:t>
            </w:r>
          </w:p>
        </w:tc>
      </w:tr>
      <w:tr w:rsidR="00C4369A" w:rsidRPr="0043191B" w14:paraId="0106C3BB" w14:textId="77777777" w:rsidTr="00C4369A">
        <w:trPr>
          <w:trHeight w:val="179"/>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5FEF61F0"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D8D0BDA" w14:textId="41F1F530" w:rsidR="00C4369A" w:rsidRPr="0043191B" w:rsidRDefault="00F07629" w:rsidP="00C4369A">
            <w:pPr>
              <w:jc w:val="center"/>
              <w:rPr>
                <w:szCs w:val="24"/>
              </w:rPr>
            </w:pPr>
            <w:r>
              <w:rPr>
                <w:szCs w:val="24"/>
              </w:rPr>
              <w:t>7.0</w:t>
            </w:r>
            <w:r w:rsidR="00E60325">
              <w:rPr>
                <w:szCs w:val="24"/>
              </w:rPr>
              <w:t>-7.2</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70C97F8" w14:textId="50CD4D66" w:rsidR="00C4369A" w:rsidRPr="0043191B" w:rsidRDefault="00F07629" w:rsidP="00C4369A">
            <w:pPr>
              <w:jc w:val="center"/>
              <w:rPr>
                <w:szCs w:val="24"/>
              </w:rPr>
            </w:pPr>
            <w:r>
              <w:rPr>
                <w:szCs w:val="24"/>
              </w:rPr>
              <w:t>R</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292EBC9E" w14:textId="10425F77" w:rsidR="00C4369A" w:rsidRPr="0043191B" w:rsidRDefault="00E60325" w:rsidP="00E60325">
            <w:pPr>
              <w:rPr>
                <w:szCs w:val="24"/>
              </w:rPr>
            </w:pPr>
            <w:r>
              <w:rPr>
                <w:szCs w:val="24"/>
              </w:rPr>
              <w:t xml:space="preserve">Change time to </w:t>
            </w:r>
            <w:r w:rsidRPr="00E60325">
              <w:rPr>
                <w:szCs w:val="24"/>
              </w:rPr>
              <w:t>70 days (USACE standard</w:t>
            </w:r>
            <w:r>
              <w:rPr>
                <w:szCs w:val="24"/>
              </w:rPr>
              <w:t>)</w:t>
            </w:r>
          </w:p>
        </w:tc>
      </w:tr>
      <w:tr w:rsidR="00C4369A" w:rsidRPr="0043191B" w14:paraId="2FEFEA28" w14:textId="77777777" w:rsidTr="004C2029">
        <w:trPr>
          <w:trHeight w:val="341"/>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7B8F9799" w14:textId="77777777" w:rsidR="00C4369A" w:rsidRPr="0043191B" w:rsidRDefault="00C4369A" w:rsidP="00C4369A">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EB7D167" w14:textId="4F644706" w:rsidR="00C4369A" w:rsidRPr="0043191B" w:rsidRDefault="00F07629" w:rsidP="00C4369A">
            <w:pPr>
              <w:jc w:val="center"/>
              <w:rPr>
                <w:szCs w:val="24"/>
              </w:rPr>
            </w:pPr>
            <w:r>
              <w:rPr>
                <w:szCs w:val="24"/>
              </w:rPr>
              <w:t>8.0</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CE9355B" w14:textId="1245FAE9" w:rsidR="00C4369A" w:rsidRPr="0043191B" w:rsidRDefault="00F07629" w:rsidP="00C4369A">
            <w:pPr>
              <w:jc w:val="center"/>
              <w:rPr>
                <w:szCs w:val="24"/>
              </w:rPr>
            </w:pPr>
            <w:r>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19B0D534" w14:textId="6B3384C5" w:rsidR="00C4369A" w:rsidRPr="00F07629" w:rsidRDefault="00F07629" w:rsidP="00C4369A">
            <w:pPr>
              <w:rPr>
                <w:szCs w:val="24"/>
              </w:rPr>
            </w:pPr>
            <w:r w:rsidRPr="00F07629">
              <w:rPr>
                <w:bCs/>
                <w:color w:val="000000"/>
                <w:szCs w:val="24"/>
              </w:rPr>
              <w:t>Added records and measurements</w:t>
            </w:r>
          </w:p>
        </w:tc>
      </w:tr>
      <w:tr w:rsidR="004C2029" w:rsidRPr="0043191B" w14:paraId="121C9973"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315CD511" w14:textId="074016D0" w:rsidR="004C2029" w:rsidRPr="0043191B" w:rsidRDefault="004C2029" w:rsidP="004C2029">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166B93A" w14:textId="4812584A" w:rsidR="004C2029" w:rsidRDefault="004C2029" w:rsidP="004C2029">
            <w:pPr>
              <w:jc w:val="center"/>
              <w:rPr>
                <w:szCs w:val="24"/>
              </w:rPr>
            </w:pPr>
            <w:r>
              <w:rPr>
                <w:szCs w:val="24"/>
              </w:rPr>
              <w:t>9</w:t>
            </w:r>
            <w:r w:rsidR="00A275D3">
              <w:rPr>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CDCCDEB" w14:textId="6973BF7F" w:rsidR="004C2029" w:rsidRDefault="004C2029" w:rsidP="004C2029">
            <w:pPr>
              <w:jc w:val="center"/>
              <w:rPr>
                <w:szCs w:val="24"/>
              </w:rPr>
            </w:pPr>
            <w:r>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DD4A721" w14:textId="546B8A10" w:rsidR="004C2029" w:rsidRPr="009703B4" w:rsidRDefault="004C2029" w:rsidP="009703B4">
            <w:pPr>
              <w:rPr>
                <w:szCs w:val="24"/>
              </w:rPr>
            </w:pPr>
            <w:r w:rsidRPr="009703B4">
              <w:rPr>
                <w:bCs/>
                <w:color w:val="000000"/>
                <w:szCs w:val="24"/>
              </w:rPr>
              <w:t xml:space="preserve">Added attachment </w:t>
            </w:r>
            <w:r w:rsidRPr="009703B4">
              <w:rPr>
                <w:szCs w:val="24"/>
              </w:rPr>
              <w:t>29114.1_</w:t>
            </w:r>
            <w:r w:rsidR="009703B4" w:rsidRPr="009703B4">
              <w:rPr>
                <w:szCs w:val="24"/>
              </w:rPr>
              <w:t xml:space="preserve"> Attachment-A - </w:t>
            </w:r>
            <w:r w:rsidRPr="009703B4">
              <w:rPr>
                <w:szCs w:val="24"/>
              </w:rPr>
              <w:t xml:space="preserve">FLIPL </w:t>
            </w:r>
            <w:r w:rsidRPr="009703B4">
              <w:rPr>
                <w:rFonts w:eastAsiaTheme="minorHAnsi"/>
                <w:szCs w:val="24"/>
              </w:rPr>
              <w:t>checklist, DA Form 7531</w:t>
            </w:r>
            <w:r w:rsidR="009703B4" w:rsidRPr="009703B4">
              <w:rPr>
                <w:rFonts w:eastAsiaTheme="minorHAnsi"/>
                <w:szCs w:val="24"/>
              </w:rPr>
              <w:t xml:space="preserve"> </w:t>
            </w:r>
          </w:p>
        </w:tc>
      </w:tr>
      <w:tr w:rsidR="004C2029" w:rsidRPr="0043191B" w14:paraId="4FE0698E"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21F6D833" w14:textId="77777777" w:rsidR="004C2029" w:rsidRPr="0043191B" w:rsidRDefault="004C2029" w:rsidP="004C2029">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5D0E3F0" w14:textId="63FAD2C9" w:rsidR="004C2029" w:rsidRPr="0043191B" w:rsidRDefault="00A275D3" w:rsidP="004C2029">
            <w:pPr>
              <w:jc w:val="center"/>
              <w:rPr>
                <w:szCs w:val="24"/>
              </w:rPr>
            </w:pPr>
            <w:r>
              <w:rPr>
                <w:szCs w:val="24"/>
              </w:rPr>
              <w:t>9.2</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9C525A3" w14:textId="0BE03137" w:rsidR="004C2029" w:rsidRPr="0043191B" w:rsidRDefault="00A275D3" w:rsidP="004C2029">
            <w:pPr>
              <w:jc w:val="center"/>
              <w:rPr>
                <w:szCs w:val="24"/>
              </w:rPr>
            </w:pPr>
            <w:r>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B41A193" w14:textId="364DDBED" w:rsidR="004C2029" w:rsidRPr="00A275D3" w:rsidRDefault="00A275D3" w:rsidP="00A275D3">
            <w:pPr>
              <w:ind w:right="360"/>
              <w:rPr>
                <w:bCs/>
                <w:szCs w:val="24"/>
              </w:rPr>
            </w:pPr>
            <w:r>
              <w:rPr>
                <w:bCs/>
                <w:szCs w:val="24"/>
              </w:rPr>
              <w:t xml:space="preserve">Added attachment </w:t>
            </w:r>
            <w:r w:rsidRPr="00A275D3">
              <w:rPr>
                <w:bCs/>
                <w:szCs w:val="24"/>
              </w:rPr>
              <w:t>29114.</w:t>
            </w:r>
            <w:r>
              <w:rPr>
                <w:bCs/>
                <w:szCs w:val="24"/>
              </w:rPr>
              <w:t>2</w:t>
            </w:r>
            <w:r w:rsidRPr="00A275D3">
              <w:rPr>
                <w:bCs/>
                <w:szCs w:val="24"/>
              </w:rPr>
              <w:t>_ Attachment-B - FLIPL Figures 10.1-10.7</w:t>
            </w:r>
          </w:p>
        </w:tc>
      </w:tr>
      <w:tr w:rsidR="00A275D3" w:rsidRPr="0043191B" w14:paraId="7F8CB5CB" w14:textId="77777777" w:rsidTr="00C4369A">
        <w:trPr>
          <w:trHeight w:val="288"/>
        </w:trPr>
        <w:tc>
          <w:tcPr>
            <w:tcW w:w="1358" w:type="dxa"/>
            <w:tcBorders>
              <w:top w:val="single" w:sz="4" w:space="0" w:color="auto"/>
              <w:left w:val="single" w:sz="4" w:space="0" w:color="auto"/>
              <w:bottom w:val="single" w:sz="4" w:space="0" w:color="auto"/>
              <w:right w:val="single" w:sz="4" w:space="0" w:color="auto"/>
            </w:tcBorders>
            <w:shd w:val="clear" w:color="auto" w:fill="auto"/>
          </w:tcPr>
          <w:p w14:paraId="6F3E4ED0" w14:textId="77777777" w:rsidR="00A275D3" w:rsidRPr="0043191B" w:rsidRDefault="00A275D3" w:rsidP="00A275D3">
            <w:pPr>
              <w:rPr>
                <w:szCs w:val="24"/>
              </w:rPr>
            </w:pPr>
            <w:r w:rsidRPr="0043191B">
              <w:rPr>
                <w:szCs w:val="24"/>
              </w:rPr>
              <w:t>18 May 16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46286C9" w14:textId="76DAD244" w:rsidR="00A275D3" w:rsidRPr="0043191B" w:rsidRDefault="00A275D3" w:rsidP="00A275D3">
            <w:pPr>
              <w:jc w:val="center"/>
              <w:rPr>
                <w:szCs w:val="24"/>
              </w:rPr>
            </w:pPr>
            <w:r>
              <w:rPr>
                <w:szCs w:val="24"/>
              </w:rPr>
              <w:t>10.0</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2D9A55D" w14:textId="43C15FEE" w:rsidR="00A275D3" w:rsidRPr="0043191B" w:rsidRDefault="00A275D3" w:rsidP="00A275D3">
            <w:pPr>
              <w:jc w:val="center"/>
              <w:rPr>
                <w:szCs w:val="24"/>
              </w:rPr>
            </w:pPr>
            <w:r>
              <w:rPr>
                <w:szCs w:val="24"/>
              </w:rPr>
              <w:t>A</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42A99A2E" w14:textId="6C8A1695" w:rsidR="00A275D3" w:rsidRPr="0043191B" w:rsidRDefault="00A275D3" w:rsidP="00A275D3">
            <w:pPr>
              <w:rPr>
                <w:szCs w:val="24"/>
              </w:rPr>
            </w:pPr>
            <w:r w:rsidRPr="009703B4">
              <w:rPr>
                <w:szCs w:val="24"/>
              </w:rPr>
              <w:t>Added Flowchart</w:t>
            </w:r>
          </w:p>
        </w:tc>
      </w:tr>
    </w:tbl>
    <w:p w14:paraId="773B6247" w14:textId="77777777" w:rsidR="00DE42C0" w:rsidRPr="0043191B" w:rsidRDefault="00DE42C0">
      <w:pPr>
        <w:rPr>
          <w:szCs w:val="24"/>
        </w:rPr>
      </w:pPr>
    </w:p>
    <w:tbl>
      <w:tblPr>
        <w:tblpPr w:leftFromText="187" w:rightFromText="187" w:topFromText="288" w:bottomFromText="288" w:vertAnchor="text" w:tblpXSpec="center" w:tblpY="1"/>
        <w:tblOverlap w:val="neve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right w:w="43" w:type="dxa"/>
        </w:tblCellMar>
        <w:tblLook w:val="0000" w:firstRow="0" w:lastRow="0" w:firstColumn="0" w:lastColumn="0" w:noHBand="0" w:noVBand="0"/>
      </w:tblPr>
      <w:tblGrid>
        <w:gridCol w:w="2200"/>
        <w:gridCol w:w="5808"/>
        <w:gridCol w:w="1935"/>
      </w:tblGrid>
      <w:tr w:rsidR="00BD4FAB" w:rsidRPr="0043191B" w14:paraId="773B6252" w14:textId="77777777" w:rsidTr="005C1B71">
        <w:trPr>
          <w:cantSplit/>
          <w:trHeight w:val="2018"/>
        </w:trPr>
        <w:tc>
          <w:tcPr>
            <w:tcW w:w="2200" w:type="dxa"/>
            <w:tcBorders>
              <w:top w:val="single" w:sz="4" w:space="0" w:color="auto"/>
              <w:left w:val="single" w:sz="4" w:space="0" w:color="auto"/>
              <w:right w:val="single" w:sz="4" w:space="0" w:color="auto"/>
            </w:tcBorders>
          </w:tcPr>
          <w:p w14:paraId="773B6248" w14:textId="77777777" w:rsidR="00DE42C0" w:rsidRPr="0043191B" w:rsidRDefault="00F26D80" w:rsidP="00F8466C">
            <w:pPr>
              <w:pStyle w:val="Heading3"/>
              <w:ind w:left="0" w:firstLine="0"/>
              <w:rPr>
                <w:rFonts w:eastAsia="Gulim"/>
                <w:b/>
                <w:szCs w:val="24"/>
              </w:rPr>
            </w:pPr>
            <w:bookmarkStart w:id="1" w:name="OLE_LINK2"/>
            <w:r>
              <w:rPr>
                <w:noProof/>
                <w:szCs w:val="24"/>
              </w:rPr>
              <w:lastRenderedPageBreak/>
              <w:object w:dxaOrig="1440" w:dyaOrig="1440" w14:anchorId="773B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25pt;margin-top:1.85pt;width:46.8pt;height:44.5pt;z-index:251664384;visibility:visible;mso-wrap-edited:f">
                  <v:imagedata r:id="rId13" o:title="" croptop="14815f" cropbottom="19048f" cropleft="18681f" cropright="21631f"/>
                </v:shape>
                <o:OLEObject Type="Embed" ProgID="Word.Picture.8" ShapeID="_x0000_s1032" DrawAspect="Content" ObjectID="_1535865497" r:id="rId14"/>
              </w:object>
            </w:r>
          </w:p>
          <w:p w14:paraId="773B6249" w14:textId="77777777" w:rsidR="00DE42C0" w:rsidRPr="0043191B" w:rsidRDefault="00DE42C0" w:rsidP="00F8466C">
            <w:pPr>
              <w:pStyle w:val="Heading3"/>
              <w:ind w:left="0" w:firstLine="0"/>
              <w:rPr>
                <w:rFonts w:eastAsia="Gulim"/>
                <w:b/>
                <w:szCs w:val="24"/>
              </w:rPr>
            </w:pPr>
          </w:p>
          <w:p w14:paraId="773B624A" w14:textId="77777777" w:rsidR="00DE42C0" w:rsidRPr="0043191B" w:rsidRDefault="00DE42C0" w:rsidP="00F8466C">
            <w:pPr>
              <w:pStyle w:val="Heading3"/>
              <w:ind w:left="0" w:firstLine="0"/>
              <w:rPr>
                <w:rFonts w:eastAsia="Gulim"/>
                <w:b/>
                <w:szCs w:val="24"/>
              </w:rPr>
            </w:pPr>
          </w:p>
          <w:p w14:paraId="773B624B" w14:textId="77777777" w:rsidR="00DE42C0" w:rsidRPr="0043191B" w:rsidRDefault="00DE42C0" w:rsidP="00F8466C">
            <w:pPr>
              <w:pStyle w:val="Heading3"/>
              <w:ind w:left="0" w:firstLine="0"/>
              <w:rPr>
                <w:rFonts w:eastAsia="Gulim"/>
                <w:b/>
                <w:szCs w:val="24"/>
              </w:rPr>
            </w:pPr>
          </w:p>
          <w:p w14:paraId="773B624C" w14:textId="77777777" w:rsidR="00BD4FAB" w:rsidRPr="0043191B" w:rsidRDefault="00DE42C0" w:rsidP="00DE42C0">
            <w:pPr>
              <w:pStyle w:val="Heading3"/>
              <w:ind w:left="0" w:firstLine="0"/>
              <w:jc w:val="left"/>
              <w:rPr>
                <w:szCs w:val="24"/>
              </w:rPr>
            </w:pPr>
            <w:r w:rsidRPr="0043191B">
              <w:rPr>
                <w:rFonts w:eastAsia="Gulim"/>
                <w:b/>
                <w:szCs w:val="24"/>
              </w:rPr>
              <w:t>US Army Corps</w:t>
            </w:r>
            <w:r w:rsidRPr="0043191B">
              <w:rPr>
                <w:rFonts w:eastAsia="Gulim"/>
                <w:b/>
                <w:szCs w:val="24"/>
              </w:rPr>
              <w:br/>
              <w:t xml:space="preserve">of Engineers Logistics Activity                                                                       </w:t>
            </w:r>
          </w:p>
        </w:tc>
        <w:tc>
          <w:tcPr>
            <w:tcW w:w="5808" w:type="dxa"/>
            <w:tcBorders>
              <w:left w:val="single" w:sz="4" w:space="0" w:color="auto"/>
            </w:tcBorders>
          </w:tcPr>
          <w:p w14:paraId="773B624D" w14:textId="77777777" w:rsidR="00BD4FAB" w:rsidRPr="0043191B" w:rsidRDefault="00BD4FAB" w:rsidP="00F8466C">
            <w:pPr>
              <w:pStyle w:val="Heading5"/>
              <w:rPr>
                <w:szCs w:val="24"/>
              </w:rPr>
            </w:pPr>
            <w:r w:rsidRPr="0043191B">
              <w:rPr>
                <w:szCs w:val="24"/>
              </w:rPr>
              <w:t>Enterprise Standard (ES)-29114</w:t>
            </w:r>
          </w:p>
          <w:p w14:paraId="773B624E" w14:textId="77777777" w:rsidR="00BD4FAB" w:rsidRPr="0043191B" w:rsidRDefault="00BD4FAB" w:rsidP="00F8466C">
            <w:pPr>
              <w:pStyle w:val="Heading5"/>
              <w:rPr>
                <w:szCs w:val="24"/>
              </w:rPr>
            </w:pPr>
          </w:p>
          <w:p w14:paraId="773B624F" w14:textId="77777777" w:rsidR="00BD4FAB" w:rsidRPr="0043191B" w:rsidRDefault="00BD4FAB" w:rsidP="00F8466C">
            <w:pPr>
              <w:pStyle w:val="Heading5"/>
              <w:rPr>
                <w:szCs w:val="24"/>
              </w:rPr>
            </w:pPr>
            <w:r w:rsidRPr="0043191B">
              <w:rPr>
                <w:szCs w:val="24"/>
              </w:rPr>
              <w:t>Financial Liability Investigation of Property Loss (FLIPL)</w:t>
            </w:r>
          </w:p>
          <w:p w14:paraId="773B6250" w14:textId="77777777" w:rsidR="00BD4FAB" w:rsidRPr="0043191B" w:rsidRDefault="00BD4FAB" w:rsidP="00F8466C">
            <w:pPr>
              <w:jc w:val="center"/>
              <w:rPr>
                <w:szCs w:val="24"/>
              </w:rPr>
            </w:pPr>
          </w:p>
        </w:tc>
        <w:tc>
          <w:tcPr>
            <w:tcW w:w="1935" w:type="dxa"/>
            <w:vAlign w:val="center"/>
          </w:tcPr>
          <w:p w14:paraId="773B6251" w14:textId="7D0A18ED" w:rsidR="00BD4FAB" w:rsidRPr="0043191B" w:rsidRDefault="005C1B71" w:rsidP="00F8466C">
            <w:pPr>
              <w:spacing w:before="120" w:after="120" w:line="240" w:lineRule="exact"/>
              <w:jc w:val="center"/>
              <w:rPr>
                <w:b/>
                <w:szCs w:val="24"/>
              </w:rPr>
            </w:pPr>
            <w:r w:rsidRPr="0043191B">
              <w:rPr>
                <w:b/>
                <w:noProof/>
                <w:szCs w:val="24"/>
              </w:rPr>
              <w:drawing>
                <wp:anchor distT="0" distB="0" distL="114300" distR="114300" simplePos="0" relativeHeight="251658240" behindDoc="0" locked="0" layoutInCell="1" allowOverlap="1" wp14:anchorId="076B3C01" wp14:editId="274EB552">
                  <wp:simplePos x="0" y="0"/>
                  <wp:positionH relativeFrom="column">
                    <wp:posOffset>91440</wp:posOffset>
                  </wp:positionH>
                  <wp:positionV relativeFrom="paragraph">
                    <wp:posOffset>182880</wp:posOffset>
                  </wp:positionV>
                  <wp:extent cx="969264" cy="969264"/>
                  <wp:effectExtent l="0" t="0" r="0" b="0"/>
                  <wp:wrapSquare wrapText="bothSides"/>
                  <wp:docPr id="1" name="Picture 1" descr="L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264" cy="9692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1"/>
    </w:tbl>
    <w:p w14:paraId="773B6253" w14:textId="77777777" w:rsidR="00BD4FAB" w:rsidRPr="0043191B" w:rsidRDefault="00BD4FAB" w:rsidP="00BD4FAB">
      <w:pPr>
        <w:pStyle w:val="Heading1"/>
        <w:rPr>
          <w:sz w:val="24"/>
          <w:szCs w:val="24"/>
        </w:rPr>
      </w:pPr>
    </w:p>
    <w:p w14:paraId="773B6254" w14:textId="77777777" w:rsidR="00BD4FAB" w:rsidRPr="0043191B" w:rsidRDefault="00BD4FAB" w:rsidP="00BD4FAB">
      <w:pPr>
        <w:pStyle w:val="Heading9"/>
        <w:rPr>
          <w:szCs w:val="24"/>
        </w:rPr>
      </w:pPr>
      <w:r w:rsidRPr="0043191B">
        <w:rPr>
          <w:szCs w:val="24"/>
        </w:rPr>
        <w:t>Table of Contents</w:t>
      </w:r>
    </w:p>
    <w:p w14:paraId="773B6255" w14:textId="77777777" w:rsidR="00BD4FAB" w:rsidRPr="0043191B" w:rsidRDefault="00BD4FAB" w:rsidP="00BD4FAB">
      <w:pPr>
        <w:rPr>
          <w:szCs w:val="24"/>
        </w:rPr>
      </w:pPr>
    </w:p>
    <w:p w14:paraId="773B6256" w14:textId="71A5C076" w:rsidR="00BD4FAB" w:rsidRPr="0043191B" w:rsidRDefault="00BD4FAB" w:rsidP="00BD4FAB">
      <w:pPr>
        <w:rPr>
          <w:color w:val="0000FF"/>
          <w:szCs w:val="24"/>
        </w:rPr>
      </w:pPr>
      <w:r w:rsidRPr="0043191B">
        <w:rPr>
          <w:szCs w:val="24"/>
        </w:rPr>
        <w:tab/>
      </w:r>
      <w:r w:rsidR="00406202" w:rsidRPr="0043191B">
        <w:rPr>
          <w:color w:val="0000FF"/>
          <w:szCs w:val="24"/>
        </w:rPr>
        <w:t>1.0</w:t>
      </w:r>
      <w:r w:rsidR="00406202" w:rsidRPr="0043191B">
        <w:rPr>
          <w:szCs w:val="24"/>
        </w:rPr>
        <w:t xml:space="preserve"> </w:t>
      </w:r>
      <w:hyperlink w:anchor="Purpose" w:history="1">
        <w:r w:rsidRPr="0043191B">
          <w:rPr>
            <w:rStyle w:val="Hyperlink"/>
            <w:szCs w:val="24"/>
          </w:rPr>
          <w:t>Purpose</w:t>
        </w:r>
      </w:hyperlink>
    </w:p>
    <w:p w14:paraId="773B6257" w14:textId="5D1B76F9"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2.0 </w:t>
      </w:r>
      <w:hyperlink w:anchor="Applicability" w:history="1">
        <w:r w:rsidRPr="0043191B">
          <w:rPr>
            <w:rStyle w:val="Hyperlink"/>
            <w:szCs w:val="24"/>
          </w:rPr>
          <w:t>Applicability</w:t>
        </w:r>
      </w:hyperlink>
    </w:p>
    <w:p w14:paraId="773B6258" w14:textId="59691B36"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3.0 </w:t>
      </w:r>
      <w:hyperlink w:anchor="References" w:history="1">
        <w:r w:rsidRPr="0043191B">
          <w:rPr>
            <w:rStyle w:val="Hyperlink"/>
            <w:szCs w:val="24"/>
          </w:rPr>
          <w:t>References</w:t>
        </w:r>
      </w:hyperlink>
    </w:p>
    <w:p w14:paraId="773B6259" w14:textId="0081DF56"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4.0 </w:t>
      </w:r>
      <w:hyperlink w:anchor="Related_Procedures" w:history="1">
        <w:r w:rsidRPr="0043191B">
          <w:rPr>
            <w:rStyle w:val="Hyperlink"/>
            <w:szCs w:val="24"/>
          </w:rPr>
          <w:t>Related Procedures</w:t>
        </w:r>
      </w:hyperlink>
    </w:p>
    <w:p w14:paraId="773B625A" w14:textId="67E89E4D"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5.0 </w:t>
      </w:r>
      <w:hyperlink w:anchor="Definitions" w:history="1">
        <w:r w:rsidRPr="0043191B">
          <w:rPr>
            <w:rStyle w:val="Hyperlink"/>
            <w:szCs w:val="24"/>
          </w:rPr>
          <w:t>Definitions</w:t>
        </w:r>
      </w:hyperlink>
    </w:p>
    <w:p w14:paraId="773B625B" w14:textId="4786A0CD"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6.0 </w:t>
      </w:r>
      <w:hyperlink w:anchor="Responsibilites" w:history="1">
        <w:r w:rsidRPr="0043191B">
          <w:rPr>
            <w:rStyle w:val="Hyperlink"/>
            <w:szCs w:val="24"/>
          </w:rPr>
          <w:t>Responsibilities</w:t>
        </w:r>
      </w:hyperlink>
    </w:p>
    <w:p w14:paraId="773B625C" w14:textId="61019AFD"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7.0 </w:t>
      </w:r>
      <w:hyperlink w:anchor="Procedures" w:history="1">
        <w:r w:rsidRPr="0043191B">
          <w:rPr>
            <w:rStyle w:val="Hyperlink"/>
            <w:szCs w:val="24"/>
          </w:rPr>
          <w:t>Procedures</w:t>
        </w:r>
      </w:hyperlink>
    </w:p>
    <w:p w14:paraId="773B625D" w14:textId="461E45CD"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8.0 </w:t>
      </w:r>
      <w:hyperlink w:anchor="Records_and_Measurements" w:history="1">
        <w:r w:rsidRPr="0043191B">
          <w:rPr>
            <w:rStyle w:val="Hyperlink"/>
            <w:szCs w:val="24"/>
          </w:rPr>
          <w:t>Records &amp; Measurements</w:t>
        </w:r>
      </w:hyperlink>
    </w:p>
    <w:p w14:paraId="773B625E" w14:textId="508AE58C"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9.0 </w:t>
      </w:r>
      <w:hyperlink w:anchor="Attachments" w:history="1">
        <w:r w:rsidRPr="0043191B">
          <w:rPr>
            <w:rStyle w:val="Hyperlink"/>
            <w:szCs w:val="24"/>
          </w:rPr>
          <w:t>Attachments</w:t>
        </w:r>
      </w:hyperlink>
    </w:p>
    <w:p w14:paraId="773B625F" w14:textId="2169DA49" w:rsidR="00BD4FAB" w:rsidRPr="0043191B" w:rsidRDefault="00BD4FAB" w:rsidP="00BD4FAB">
      <w:pPr>
        <w:rPr>
          <w:color w:val="0000FF"/>
          <w:szCs w:val="24"/>
        </w:rPr>
      </w:pPr>
      <w:r w:rsidRPr="0043191B">
        <w:rPr>
          <w:color w:val="0000FF"/>
          <w:szCs w:val="24"/>
        </w:rPr>
        <w:tab/>
      </w:r>
      <w:r w:rsidR="00406202" w:rsidRPr="0043191B">
        <w:rPr>
          <w:color w:val="0000FF"/>
          <w:szCs w:val="24"/>
        </w:rPr>
        <w:t xml:space="preserve">10.0 </w:t>
      </w:r>
      <w:hyperlink w:anchor="Flow_Chart" w:history="1">
        <w:r w:rsidRPr="0043191B">
          <w:rPr>
            <w:rStyle w:val="Hyperlink"/>
            <w:szCs w:val="24"/>
          </w:rPr>
          <w:t>Flow Chart</w:t>
        </w:r>
      </w:hyperlink>
    </w:p>
    <w:p w14:paraId="773B6260" w14:textId="77777777" w:rsidR="00BD4FAB" w:rsidRPr="0043191B" w:rsidRDefault="00BD4FAB" w:rsidP="00BD4FAB">
      <w:pPr>
        <w:rPr>
          <w:color w:val="0000FF"/>
          <w:szCs w:val="24"/>
        </w:rPr>
      </w:pPr>
    </w:p>
    <w:p w14:paraId="773B6261" w14:textId="77777777" w:rsidR="00BD4FAB" w:rsidRPr="0043191B" w:rsidRDefault="00BD4FAB" w:rsidP="00BD4FAB">
      <w:pPr>
        <w:rPr>
          <w:szCs w:val="24"/>
        </w:rPr>
      </w:pPr>
      <w:r w:rsidRPr="0043191B">
        <w:rPr>
          <w:szCs w:val="24"/>
        </w:rPr>
        <w:t>______________________________________________________________________________</w:t>
      </w:r>
    </w:p>
    <w:p w14:paraId="773B6267" w14:textId="1D296F81" w:rsidR="00BD4FAB" w:rsidRPr="0043191B" w:rsidRDefault="00BD4FAB" w:rsidP="00A044AC">
      <w:pPr>
        <w:pStyle w:val="ListParagraph"/>
        <w:numPr>
          <w:ilvl w:val="0"/>
          <w:numId w:val="7"/>
        </w:numPr>
        <w:rPr>
          <w:szCs w:val="24"/>
        </w:rPr>
      </w:pPr>
      <w:bookmarkStart w:id="2" w:name="Purpose"/>
      <w:bookmarkEnd w:id="2"/>
      <w:r w:rsidRPr="0043191B">
        <w:rPr>
          <w:b/>
          <w:bCs/>
          <w:szCs w:val="24"/>
        </w:rPr>
        <w:t xml:space="preserve">Purpose.  </w:t>
      </w:r>
      <w:r w:rsidR="00A044AC" w:rsidRPr="0043191B">
        <w:rPr>
          <w:spacing w:val="-4"/>
          <w:szCs w:val="24"/>
        </w:rPr>
        <w:t>To prescribe policy, procedures, responsibilities, and guidance on how to a</w:t>
      </w:r>
      <w:r w:rsidRPr="0043191B">
        <w:rPr>
          <w:spacing w:val="-4"/>
          <w:szCs w:val="24"/>
        </w:rPr>
        <w:t>ccount for lost, damaged or destroyed property</w:t>
      </w:r>
      <w:r w:rsidR="00A044AC" w:rsidRPr="0043191B">
        <w:rPr>
          <w:spacing w:val="-4"/>
          <w:szCs w:val="24"/>
        </w:rPr>
        <w:t xml:space="preserve">; provide </w:t>
      </w:r>
      <w:r w:rsidRPr="0043191B">
        <w:rPr>
          <w:spacing w:val="-4"/>
          <w:szCs w:val="24"/>
        </w:rPr>
        <w:t>a voucher for adjusting property from accountable records</w:t>
      </w:r>
      <w:r w:rsidR="00A044AC" w:rsidRPr="0043191B">
        <w:rPr>
          <w:spacing w:val="-4"/>
          <w:szCs w:val="24"/>
        </w:rPr>
        <w:t>, a</w:t>
      </w:r>
      <w:r w:rsidRPr="0043191B">
        <w:rPr>
          <w:spacing w:val="-4"/>
          <w:szCs w:val="24"/>
        </w:rPr>
        <w:t>ssesses financial liability against an individual</w:t>
      </w:r>
      <w:r w:rsidR="00A044AC" w:rsidRPr="0043191B">
        <w:rPr>
          <w:spacing w:val="-4"/>
          <w:szCs w:val="24"/>
        </w:rPr>
        <w:t>, and provide</w:t>
      </w:r>
      <w:r w:rsidRPr="0043191B">
        <w:rPr>
          <w:spacing w:val="-4"/>
          <w:szCs w:val="24"/>
        </w:rPr>
        <w:t xml:space="preserve"> relief from financial liability</w:t>
      </w:r>
    </w:p>
    <w:p w14:paraId="773B6268" w14:textId="77777777" w:rsidR="00BD4FAB" w:rsidRPr="0043191B" w:rsidRDefault="00BD4FAB" w:rsidP="00BD4FAB">
      <w:pPr>
        <w:ind w:left="2160"/>
        <w:rPr>
          <w:szCs w:val="24"/>
        </w:rPr>
      </w:pPr>
      <w:r w:rsidRPr="0043191B">
        <w:rPr>
          <w:szCs w:val="24"/>
        </w:rPr>
        <w:t xml:space="preserve"> </w:t>
      </w:r>
    </w:p>
    <w:p w14:paraId="773B626B" w14:textId="43E26892" w:rsidR="00BD4FAB" w:rsidRPr="0043191B" w:rsidRDefault="00BD4FAB" w:rsidP="007E0A0D">
      <w:pPr>
        <w:pStyle w:val="ListParagraph"/>
        <w:numPr>
          <w:ilvl w:val="0"/>
          <w:numId w:val="7"/>
        </w:numPr>
        <w:ind w:left="405"/>
        <w:rPr>
          <w:color w:val="000000"/>
          <w:szCs w:val="24"/>
        </w:rPr>
      </w:pPr>
      <w:bookmarkStart w:id="3" w:name="Applicability"/>
      <w:bookmarkEnd w:id="3"/>
      <w:r w:rsidRPr="0043191B">
        <w:rPr>
          <w:b/>
          <w:bCs/>
          <w:szCs w:val="24"/>
        </w:rPr>
        <w:t xml:space="preserve">Applicability.  </w:t>
      </w:r>
      <w:r w:rsidRPr="0043191B">
        <w:rPr>
          <w:szCs w:val="24"/>
        </w:rPr>
        <w:t>This business process applies to all levels of the US Army Corps of Engineers: HQUSACE, Divisions, Districts, and Field Operating Activities.</w:t>
      </w:r>
    </w:p>
    <w:p w14:paraId="773B626C" w14:textId="77777777" w:rsidR="00BD4FAB" w:rsidRPr="0043191B" w:rsidRDefault="00BD4FAB" w:rsidP="00BD4FAB">
      <w:pPr>
        <w:rPr>
          <w:b/>
          <w:bCs/>
          <w:szCs w:val="24"/>
        </w:rPr>
      </w:pPr>
    </w:p>
    <w:p w14:paraId="773B626D" w14:textId="77777777" w:rsidR="00BD4FAB" w:rsidRPr="0043191B" w:rsidRDefault="00BD4FAB" w:rsidP="00A044AC">
      <w:pPr>
        <w:numPr>
          <w:ilvl w:val="0"/>
          <w:numId w:val="7"/>
        </w:numPr>
        <w:rPr>
          <w:b/>
          <w:bCs/>
          <w:szCs w:val="24"/>
        </w:rPr>
      </w:pPr>
      <w:r w:rsidRPr="0043191B">
        <w:rPr>
          <w:b/>
          <w:bCs/>
          <w:szCs w:val="24"/>
        </w:rPr>
        <w:t>References.</w:t>
      </w:r>
    </w:p>
    <w:p w14:paraId="2B07B6FF" w14:textId="77777777" w:rsidR="00A044AC" w:rsidRPr="0043191B" w:rsidRDefault="00A044AC" w:rsidP="00A044AC">
      <w:pPr>
        <w:pStyle w:val="ListParagraph"/>
        <w:rPr>
          <w:b/>
          <w:bCs/>
          <w:szCs w:val="24"/>
        </w:rPr>
      </w:pPr>
    </w:p>
    <w:p w14:paraId="773B626F" w14:textId="32BC61B5" w:rsidR="00BD4FAB" w:rsidRPr="0043191B" w:rsidRDefault="00BD4FAB" w:rsidP="00BD4FAB">
      <w:pPr>
        <w:numPr>
          <w:ilvl w:val="0"/>
          <w:numId w:val="2"/>
        </w:numPr>
        <w:autoSpaceDE w:val="0"/>
        <w:autoSpaceDN w:val="0"/>
        <w:adjustRightInd w:val="0"/>
        <w:ind w:left="720"/>
        <w:rPr>
          <w:szCs w:val="24"/>
        </w:rPr>
      </w:pPr>
      <w:r w:rsidRPr="0043191B">
        <w:rPr>
          <w:szCs w:val="24"/>
        </w:rPr>
        <w:t xml:space="preserve">AR 735 – 5, Policies and Procedures for Property Accountability, </w:t>
      </w:r>
      <w:r w:rsidR="00C5591C" w:rsidRPr="0043191B">
        <w:rPr>
          <w:szCs w:val="24"/>
        </w:rPr>
        <w:t>10 May 2013</w:t>
      </w:r>
    </w:p>
    <w:p w14:paraId="6ECA72CF" w14:textId="77777777" w:rsidR="00A044AC" w:rsidRPr="0043191B" w:rsidRDefault="00A044AC" w:rsidP="00A044AC">
      <w:pPr>
        <w:autoSpaceDE w:val="0"/>
        <w:autoSpaceDN w:val="0"/>
        <w:adjustRightInd w:val="0"/>
        <w:ind w:left="720"/>
        <w:rPr>
          <w:szCs w:val="24"/>
        </w:rPr>
      </w:pPr>
    </w:p>
    <w:p w14:paraId="773B6270" w14:textId="7080D7BF" w:rsidR="00BD4FAB" w:rsidRPr="0043191B" w:rsidRDefault="00BD4FAB" w:rsidP="00BD4FAB">
      <w:pPr>
        <w:pStyle w:val="ListParagraph"/>
        <w:numPr>
          <w:ilvl w:val="0"/>
          <w:numId w:val="2"/>
        </w:numPr>
        <w:autoSpaceDE w:val="0"/>
        <w:autoSpaceDN w:val="0"/>
        <w:adjustRightInd w:val="0"/>
        <w:ind w:left="720"/>
        <w:rPr>
          <w:szCs w:val="24"/>
        </w:rPr>
      </w:pPr>
      <w:r w:rsidRPr="0043191B">
        <w:rPr>
          <w:szCs w:val="24"/>
        </w:rPr>
        <w:t>DA PAM 735-5, Financial Liability Officer's Guide</w:t>
      </w:r>
      <w:r w:rsidR="007C3E5A" w:rsidRPr="0043191B">
        <w:rPr>
          <w:szCs w:val="24"/>
        </w:rPr>
        <w:t>,</w:t>
      </w:r>
      <w:r w:rsidRPr="0043191B">
        <w:rPr>
          <w:szCs w:val="24"/>
        </w:rPr>
        <w:t xml:space="preserve"> </w:t>
      </w:r>
      <w:r w:rsidR="00C5591C" w:rsidRPr="0043191B">
        <w:rPr>
          <w:szCs w:val="24"/>
        </w:rPr>
        <w:t>23 March 2016</w:t>
      </w:r>
    </w:p>
    <w:p w14:paraId="773B6271" w14:textId="77777777" w:rsidR="00BD4FAB" w:rsidRPr="0043191B" w:rsidRDefault="00BD4FAB" w:rsidP="00BD4FAB">
      <w:pPr>
        <w:ind w:left="720"/>
        <w:rPr>
          <w:szCs w:val="24"/>
        </w:rPr>
      </w:pPr>
    </w:p>
    <w:p w14:paraId="71389AFE" w14:textId="422E1250" w:rsidR="00A044AC" w:rsidRPr="0043191B" w:rsidRDefault="00BD4FAB" w:rsidP="00A044AC">
      <w:pPr>
        <w:numPr>
          <w:ilvl w:val="0"/>
          <w:numId w:val="7"/>
        </w:numPr>
        <w:spacing w:line="360" w:lineRule="auto"/>
        <w:rPr>
          <w:szCs w:val="24"/>
        </w:rPr>
      </w:pPr>
      <w:bookmarkStart w:id="4" w:name="Related_Procedures"/>
      <w:bookmarkEnd w:id="4"/>
      <w:r w:rsidRPr="0043191B">
        <w:rPr>
          <w:b/>
          <w:bCs/>
          <w:szCs w:val="24"/>
        </w:rPr>
        <w:t>Related Procedures.</w:t>
      </w:r>
      <w:r w:rsidR="00A044AC" w:rsidRPr="0043191B">
        <w:rPr>
          <w:b/>
          <w:bCs/>
          <w:szCs w:val="24"/>
        </w:rPr>
        <w:t xml:space="preserve"> </w:t>
      </w:r>
      <w:r w:rsidRPr="0043191B">
        <w:rPr>
          <w:b/>
          <w:bCs/>
          <w:szCs w:val="24"/>
        </w:rPr>
        <w:br/>
      </w:r>
      <w:r w:rsidR="00A044AC" w:rsidRPr="0043191B">
        <w:rPr>
          <w:szCs w:val="24"/>
        </w:rPr>
        <w:t xml:space="preserve"> </w:t>
      </w:r>
      <w:bookmarkStart w:id="5" w:name="Definitions"/>
      <w:bookmarkEnd w:id="5"/>
      <w:r w:rsidR="00A044AC" w:rsidRPr="0043191B">
        <w:rPr>
          <w:bCs/>
          <w:szCs w:val="24"/>
        </w:rPr>
        <w:t>The</w:t>
      </w:r>
      <w:r w:rsidR="00A044AC" w:rsidRPr="0043191B">
        <w:rPr>
          <w:szCs w:val="24"/>
        </w:rPr>
        <w:t xml:space="preserve"> processes related to this business process is ES-QMS140 Records Management</w:t>
      </w:r>
    </w:p>
    <w:p w14:paraId="773B6278" w14:textId="77777777" w:rsidR="00BD4FAB" w:rsidRPr="0043191B" w:rsidRDefault="00BD4FAB" w:rsidP="00BD4FAB">
      <w:pPr>
        <w:ind w:left="405"/>
        <w:rPr>
          <w:b/>
          <w:bCs/>
          <w:szCs w:val="24"/>
        </w:rPr>
      </w:pPr>
    </w:p>
    <w:p w14:paraId="773B6279" w14:textId="77777777" w:rsidR="00BD4FAB" w:rsidRPr="0043191B" w:rsidRDefault="00BD4FAB" w:rsidP="00A044AC">
      <w:pPr>
        <w:numPr>
          <w:ilvl w:val="0"/>
          <w:numId w:val="7"/>
        </w:numPr>
        <w:rPr>
          <w:b/>
          <w:bCs/>
          <w:szCs w:val="24"/>
        </w:rPr>
      </w:pPr>
      <w:r w:rsidRPr="0043191B">
        <w:rPr>
          <w:b/>
          <w:bCs/>
          <w:szCs w:val="24"/>
        </w:rPr>
        <w:t xml:space="preserve">Definitions.  </w:t>
      </w:r>
    </w:p>
    <w:p w14:paraId="773B627A" w14:textId="77777777" w:rsidR="00BD4FAB" w:rsidRPr="0043191B" w:rsidRDefault="00BD4FAB" w:rsidP="00BD4FAB">
      <w:pPr>
        <w:ind w:left="405"/>
        <w:rPr>
          <w:b/>
          <w:bCs/>
          <w:color w:val="FF0000"/>
          <w:szCs w:val="24"/>
        </w:rPr>
      </w:pPr>
    </w:p>
    <w:p w14:paraId="33190B8E" w14:textId="73810956" w:rsidR="00C4369A" w:rsidRPr="0043191B" w:rsidRDefault="00C4369A" w:rsidP="00C4369A">
      <w:pPr>
        <w:autoSpaceDE w:val="0"/>
        <w:autoSpaceDN w:val="0"/>
        <w:adjustRightInd w:val="0"/>
        <w:ind w:left="405"/>
        <w:rPr>
          <w:szCs w:val="24"/>
        </w:rPr>
      </w:pPr>
      <w:r w:rsidRPr="0043191B">
        <w:rPr>
          <w:b/>
          <w:bCs/>
          <w:szCs w:val="24"/>
        </w:rPr>
        <w:t>5.1 Damage</w:t>
      </w:r>
      <w:r w:rsidRPr="0043191B">
        <w:rPr>
          <w:szCs w:val="24"/>
        </w:rPr>
        <w:t>:  A condition that impairs either the value or use of an item; may occur in</w:t>
      </w:r>
    </w:p>
    <w:p w14:paraId="62DD0A78" w14:textId="77777777" w:rsidR="00C4369A" w:rsidRPr="0043191B" w:rsidRDefault="00C4369A" w:rsidP="00C4369A">
      <w:pPr>
        <w:autoSpaceDE w:val="0"/>
        <w:autoSpaceDN w:val="0"/>
        <w:adjustRightInd w:val="0"/>
        <w:ind w:left="717"/>
        <w:rPr>
          <w:szCs w:val="24"/>
        </w:rPr>
      </w:pPr>
      <w:r w:rsidRPr="0043191B">
        <w:rPr>
          <w:szCs w:val="24"/>
        </w:rPr>
        <w:lastRenderedPageBreak/>
        <w:t xml:space="preserve">varying degrees. Property may be damaged in appearance or in expected useful life without rendering it unserviceable or less useful. Damage also shows partial unserviceability. Usually implies that damage is the result of some act or omission. </w:t>
      </w:r>
    </w:p>
    <w:p w14:paraId="54E78D29" w14:textId="77777777" w:rsidR="00C4369A" w:rsidRPr="0043191B" w:rsidRDefault="00C4369A" w:rsidP="00C4369A">
      <w:pPr>
        <w:ind w:left="405"/>
        <w:rPr>
          <w:szCs w:val="24"/>
        </w:rPr>
      </w:pPr>
    </w:p>
    <w:p w14:paraId="521F497E" w14:textId="4234B1E4" w:rsidR="00C4369A" w:rsidRPr="0043191B" w:rsidRDefault="00C4369A" w:rsidP="00C4369A">
      <w:pPr>
        <w:autoSpaceDE w:val="0"/>
        <w:autoSpaceDN w:val="0"/>
        <w:adjustRightInd w:val="0"/>
        <w:ind w:left="405"/>
        <w:rPr>
          <w:szCs w:val="24"/>
        </w:rPr>
      </w:pPr>
      <w:r w:rsidRPr="0043191B">
        <w:rPr>
          <w:b/>
          <w:szCs w:val="24"/>
        </w:rPr>
        <w:t xml:space="preserve">5.2 </w:t>
      </w:r>
      <w:r w:rsidRPr="0043191B">
        <w:rPr>
          <w:b/>
          <w:bCs/>
          <w:szCs w:val="24"/>
        </w:rPr>
        <w:t>Destroy</w:t>
      </w:r>
      <w:r w:rsidRPr="0043191B">
        <w:rPr>
          <w:szCs w:val="24"/>
        </w:rPr>
        <w:t xml:space="preserve">: Equipment damaged to the point of complete loss of identity or beyond the </w:t>
      </w:r>
    </w:p>
    <w:p w14:paraId="15533A52" w14:textId="77777777" w:rsidR="00C4369A" w:rsidRPr="0043191B" w:rsidRDefault="00C4369A" w:rsidP="00C4369A">
      <w:pPr>
        <w:autoSpaceDE w:val="0"/>
        <w:autoSpaceDN w:val="0"/>
        <w:adjustRightInd w:val="0"/>
        <w:ind w:left="717"/>
        <w:rPr>
          <w:szCs w:val="24"/>
        </w:rPr>
      </w:pPr>
      <w:r w:rsidRPr="0043191B">
        <w:rPr>
          <w:szCs w:val="24"/>
        </w:rPr>
        <w:t>prospect of future restoration. Major weapon systems, systems with classified components and sensitive items will not be considered destroyed without a technical inspection of the residue.</w:t>
      </w:r>
    </w:p>
    <w:p w14:paraId="34F12392" w14:textId="77777777" w:rsidR="00C4369A" w:rsidRPr="0043191B" w:rsidRDefault="00C4369A" w:rsidP="00C4369A">
      <w:pPr>
        <w:ind w:left="405"/>
        <w:rPr>
          <w:szCs w:val="24"/>
        </w:rPr>
      </w:pPr>
    </w:p>
    <w:p w14:paraId="21EE7254" w14:textId="77777777" w:rsidR="00C4369A" w:rsidRPr="0043191B" w:rsidRDefault="00C4369A" w:rsidP="00C4369A">
      <w:pPr>
        <w:autoSpaceDE w:val="0"/>
        <w:autoSpaceDN w:val="0"/>
        <w:adjustRightInd w:val="0"/>
        <w:ind w:left="720" w:hanging="432"/>
        <w:rPr>
          <w:szCs w:val="24"/>
        </w:rPr>
      </w:pPr>
      <w:r w:rsidRPr="0043191B">
        <w:rPr>
          <w:b/>
          <w:szCs w:val="24"/>
        </w:rPr>
        <w:t>5.3</w:t>
      </w:r>
      <w:r w:rsidRPr="0043191B">
        <w:rPr>
          <w:b/>
          <w:szCs w:val="24"/>
        </w:rPr>
        <w:tab/>
      </w:r>
      <w:r w:rsidRPr="0043191B">
        <w:rPr>
          <w:b/>
          <w:bCs/>
          <w:szCs w:val="24"/>
        </w:rPr>
        <w:t xml:space="preserve">Fair wear and tear: </w:t>
      </w:r>
      <w:r w:rsidRPr="0043191B">
        <w:rPr>
          <w:szCs w:val="24"/>
        </w:rPr>
        <w:t>Loss or impairment of appearance, effectiveness, worth, or utility of an item that has occurred solely because of normal and customary use of the item for its intended purpose</w:t>
      </w:r>
    </w:p>
    <w:p w14:paraId="53A4D5A2" w14:textId="77777777" w:rsidR="00C4369A" w:rsidRPr="0043191B" w:rsidRDefault="00C4369A" w:rsidP="00C4369A">
      <w:pPr>
        <w:autoSpaceDE w:val="0"/>
        <w:autoSpaceDN w:val="0"/>
        <w:adjustRightInd w:val="0"/>
        <w:ind w:firstLine="720"/>
        <w:rPr>
          <w:szCs w:val="24"/>
        </w:rPr>
      </w:pPr>
    </w:p>
    <w:p w14:paraId="75A48EE0" w14:textId="77777777" w:rsidR="00C4369A" w:rsidRPr="0043191B" w:rsidRDefault="00C4369A" w:rsidP="00C4369A">
      <w:pPr>
        <w:autoSpaceDE w:val="0"/>
        <w:autoSpaceDN w:val="0"/>
        <w:adjustRightInd w:val="0"/>
        <w:ind w:left="720" w:hanging="432"/>
        <w:rPr>
          <w:szCs w:val="24"/>
        </w:rPr>
      </w:pPr>
      <w:r w:rsidRPr="0043191B">
        <w:rPr>
          <w:b/>
          <w:szCs w:val="24"/>
        </w:rPr>
        <w:t>5.4</w:t>
      </w:r>
      <w:r w:rsidRPr="0043191B">
        <w:rPr>
          <w:b/>
          <w:szCs w:val="24"/>
        </w:rPr>
        <w:tab/>
      </w:r>
      <w:r w:rsidRPr="0043191B">
        <w:rPr>
          <w:b/>
          <w:bCs/>
          <w:szCs w:val="24"/>
        </w:rPr>
        <w:t>Financial liability</w:t>
      </w:r>
      <w:r w:rsidRPr="0043191B">
        <w:rPr>
          <w:szCs w:val="24"/>
        </w:rPr>
        <w:t>:</w:t>
      </w:r>
      <w:r w:rsidRPr="0043191B">
        <w:rPr>
          <w:b/>
          <w:bCs/>
          <w:szCs w:val="24"/>
        </w:rPr>
        <w:t xml:space="preserve"> </w:t>
      </w:r>
      <w:r w:rsidRPr="0043191B">
        <w:rPr>
          <w:szCs w:val="24"/>
        </w:rPr>
        <w:t>The statutory obligation of an individual to reimburse the Government for lost, damaged, or destroyed Government property as a result of negligence or abuse.</w:t>
      </w:r>
    </w:p>
    <w:p w14:paraId="450A1E36" w14:textId="77777777" w:rsidR="00C4369A" w:rsidRPr="0043191B" w:rsidRDefault="00C4369A" w:rsidP="00C4369A">
      <w:pPr>
        <w:autoSpaceDE w:val="0"/>
        <w:autoSpaceDN w:val="0"/>
        <w:adjustRightInd w:val="0"/>
        <w:ind w:left="720" w:hanging="432"/>
        <w:rPr>
          <w:szCs w:val="24"/>
        </w:rPr>
      </w:pPr>
    </w:p>
    <w:p w14:paraId="3035DAC1" w14:textId="77777777" w:rsidR="00C4369A" w:rsidRPr="0043191B" w:rsidRDefault="00C4369A" w:rsidP="00C4369A">
      <w:pPr>
        <w:autoSpaceDE w:val="0"/>
        <w:autoSpaceDN w:val="0"/>
        <w:adjustRightInd w:val="0"/>
        <w:ind w:left="720" w:hanging="432"/>
        <w:rPr>
          <w:szCs w:val="24"/>
        </w:rPr>
      </w:pPr>
      <w:r w:rsidRPr="0043191B">
        <w:rPr>
          <w:b/>
          <w:szCs w:val="24"/>
        </w:rPr>
        <w:t>5.5</w:t>
      </w:r>
      <w:r w:rsidRPr="0043191B">
        <w:rPr>
          <w:b/>
          <w:szCs w:val="24"/>
        </w:rPr>
        <w:tab/>
      </w:r>
      <w:r w:rsidRPr="0043191B">
        <w:rPr>
          <w:b/>
          <w:bCs/>
          <w:szCs w:val="24"/>
        </w:rPr>
        <w:t>Negligence</w:t>
      </w:r>
      <w:r w:rsidRPr="0043191B">
        <w:rPr>
          <w:szCs w:val="24"/>
        </w:rPr>
        <w:t>:</w:t>
      </w:r>
      <w:r w:rsidRPr="0043191B">
        <w:rPr>
          <w:b/>
          <w:bCs/>
          <w:szCs w:val="24"/>
        </w:rPr>
        <w:t xml:space="preserve"> </w:t>
      </w:r>
      <w:r w:rsidRPr="0043191B">
        <w:rPr>
          <w:szCs w:val="24"/>
        </w:rPr>
        <w:t>The failure to act as a reasonably prudent person would have acted under similar circumstances. An act or omission that a reasonably prudent person would not have committed, or omitted, under similar circumstances and which is the proximate cause of the loss of, damage to, or destruction of Government property. Failure to comply with existing laws, regulations, and/or procedures may be considered as evidence of negligence</w:t>
      </w:r>
    </w:p>
    <w:p w14:paraId="1D15EF7D" w14:textId="77777777" w:rsidR="00C4369A" w:rsidRPr="0043191B" w:rsidRDefault="00C4369A" w:rsidP="00C4369A">
      <w:pPr>
        <w:autoSpaceDE w:val="0"/>
        <w:autoSpaceDN w:val="0"/>
        <w:adjustRightInd w:val="0"/>
        <w:ind w:left="720" w:hanging="432"/>
        <w:rPr>
          <w:b/>
          <w:bCs/>
          <w:szCs w:val="24"/>
        </w:rPr>
      </w:pPr>
    </w:p>
    <w:p w14:paraId="6D914BED" w14:textId="56A34CB1" w:rsidR="00C4369A" w:rsidRPr="0043191B" w:rsidRDefault="00C4369A" w:rsidP="00C4369A">
      <w:pPr>
        <w:autoSpaceDE w:val="0"/>
        <w:autoSpaceDN w:val="0"/>
        <w:adjustRightInd w:val="0"/>
        <w:ind w:left="1440"/>
        <w:rPr>
          <w:szCs w:val="24"/>
        </w:rPr>
      </w:pPr>
      <w:r w:rsidRPr="0043191B">
        <w:rPr>
          <w:b/>
          <w:bCs/>
          <w:szCs w:val="24"/>
        </w:rPr>
        <w:t>5.5</w:t>
      </w:r>
      <w:r w:rsidR="003C3269">
        <w:rPr>
          <w:b/>
          <w:bCs/>
          <w:szCs w:val="24"/>
        </w:rPr>
        <w:t>.1</w:t>
      </w:r>
      <w:r w:rsidRPr="0043191B">
        <w:rPr>
          <w:szCs w:val="24"/>
        </w:rPr>
        <w:t xml:space="preserve"> </w:t>
      </w:r>
      <w:r w:rsidRPr="00041C4D">
        <w:rPr>
          <w:b/>
          <w:szCs w:val="24"/>
        </w:rPr>
        <w:t>Simple</w:t>
      </w:r>
      <w:r w:rsidRPr="0043191B">
        <w:rPr>
          <w:b/>
          <w:bCs/>
          <w:szCs w:val="24"/>
        </w:rPr>
        <w:t xml:space="preserve"> negligence</w:t>
      </w:r>
      <w:r w:rsidRPr="0043191B">
        <w:rPr>
          <w:szCs w:val="24"/>
        </w:rPr>
        <w:t>: Simple negligence is the absence of due care, by an act or omission of a person which lacks that degree of care for the property that a reasonably prudent person would have taken under similar circumstances, to avoid the loss or damage of Government property.</w:t>
      </w:r>
    </w:p>
    <w:p w14:paraId="7A1AA1CE" w14:textId="77777777" w:rsidR="00C4369A" w:rsidRPr="0043191B" w:rsidRDefault="00C4369A" w:rsidP="00C4369A">
      <w:pPr>
        <w:autoSpaceDE w:val="0"/>
        <w:autoSpaceDN w:val="0"/>
        <w:adjustRightInd w:val="0"/>
        <w:ind w:left="1440"/>
        <w:rPr>
          <w:szCs w:val="24"/>
        </w:rPr>
      </w:pPr>
    </w:p>
    <w:p w14:paraId="6ABE4C73" w14:textId="1A575E3A" w:rsidR="00C4369A" w:rsidRPr="0043191B" w:rsidRDefault="00C4369A" w:rsidP="00C4369A">
      <w:pPr>
        <w:autoSpaceDE w:val="0"/>
        <w:autoSpaceDN w:val="0"/>
        <w:adjustRightInd w:val="0"/>
        <w:ind w:left="1440"/>
        <w:rPr>
          <w:szCs w:val="24"/>
        </w:rPr>
      </w:pPr>
      <w:r w:rsidRPr="0043191B">
        <w:rPr>
          <w:b/>
          <w:bCs/>
          <w:szCs w:val="24"/>
        </w:rPr>
        <w:t>5.5</w:t>
      </w:r>
      <w:r w:rsidR="003C3269">
        <w:rPr>
          <w:b/>
          <w:bCs/>
          <w:szCs w:val="24"/>
        </w:rPr>
        <w:t>.2</w:t>
      </w:r>
      <w:r w:rsidRPr="0043191B">
        <w:rPr>
          <w:b/>
          <w:bCs/>
          <w:szCs w:val="24"/>
        </w:rPr>
        <w:t xml:space="preserve">  Gross negligence: </w:t>
      </w:r>
      <w:r w:rsidRPr="0043191B">
        <w:rPr>
          <w:szCs w:val="24"/>
        </w:rPr>
        <w:t>Gross negligence is an extreme departure from due care resulting from an act or omission of a person accountable or responsible for Government property which falls far short of that degree of care for the property that a reasonably prudent person would have taken under similar circumstances. It is accompanied by a reckless, deliberate, or wanton disregard for the foreseeable loss or damage to the property.</w:t>
      </w:r>
    </w:p>
    <w:p w14:paraId="38501783" w14:textId="77777777" w:rsidR="00C4369A" w:rsidRPr="0043191B" w:rsidRDefault="00C4369A" w:rsidP="00C4369A">
      <w:pPr>
        <w:autoSpaceDE w:val="0"/>
        <w:autoSpaceDN w:val="0"/>
        <w:adjustRightInd w:val="0"/>
        <w:ind w:left="1440"/>
        <w:rPr>
          <w:szCs w:val="24"/>
        </w:rPr>
      </w:pPr>
    </w:p>
    <w:p w14:paraId="773B627D" w14:textId="2187D848" w:rsidR="00BD4FAB" w:rsidRPr="0043191B" w:rsidRDefault="00C4369A" w:rsidP="00C4369A">
      <w:pPr>
        <w:numPr>
          <w:ilvl w:val="0"/>
          <w:numId w:val="7"/>
        </w:numPr>
        <w:rPr>
          <w:b/>
          <w:bCs/>
          <w:szCs w:val="24"/>
        </w:rPr>
      </w:pPr>
      <w:r w:rsidRPr="0043191B">
        <w:rPr>
          <w:b/>
          <w:bCs/>
          <w:szCs w:val="24"/>
        </w:rPr>
        <w:t xml:space="preserve"> </w:t>
      </w:r>
      <w:r w:rsidR="00BD4FAB" w:rsidRPr="0043191B">
        <w:rPr>
          <w:b/>
          <w:bCs/>
          <w:szCs w:val="24"/>
        </w:rPr>
        <w:t>Responsibilities.</w:t>
      </w:r>
    </w:p>
    <w:p w14:paraId="773B627E" w14:textId="77777777" w:rsidR="00BD4FAB" w:rsidRPr="0043191B" w:rsidRDefault="00BD4FAB" w:rsidP="00BD4FAB">
      <w:pPr>
        <w:rPr>
          <w:b/>
          <w:bCs/>
          <w:szCs w:val="24"/>
        </w:rPr>
      </w:pPr>
    </w:p>
    <w:p w14:paraId="773B627F" w14:textId="1FA629FB" w:rsidR="00BD4FAB" w:rsidRPr="0043191B" w:rsidRDefault="00291BD5" w:rsidP="00BD4FAB">
      <w:pPr>
        <w:ind w:left="360"/>
        <w:rPr>
          <w:b/>
          <w:szCs w:val="24"/>
        </w:rPr>
      </w:pPr>
      <w:r w:rsidRPr="0043191B">
        <w:rPr>
          <w:b/>
          <w:szCs w:val="24"/>
        </w:rPr>
        <w:t>6.1 The</w:t>
      </w:r>
      <w:r w:rsidR="00BD4FAB" w:rsidRPr="0043191B">
        <w:rPr>
          <w:b/>
          <w:szCs w:val="24"/>
        </w:rPr>
        <w:t xml:space="preserve"> type of responsibility the person has for property determines the obligations incurred by the individual</w:t>
      </w:r>
      <w:r w:rsidRPr="0043191B">
        <w:rPr>
          <w:b/>
          <w:szCs w:val="24"/>
        </w:rPr>
        <w:t>. (</w:t>
      </w:r>
      <w:r w:rsidR="00BD4FAB" w:rsidRPr="0043191B">
        <w:rPr>
          <w:b/>
          <w:szCs w:val="24"/>
        </w:rPr>
        <w:t>AR735-5, para 13-2</w:t>
      </w:r>
      <w:r w:rsidR="00A53BFF" w:rsidRPr="0043191B">
        <w:rPr>
          <w:b/>
          <w:szCs w:val="24"/>
        </w:rPr>
        <w:t>9</w:t>
      </w:r>
      <w:r w:rsidR="00BD4FAB" w:rsidRPr="0043191B">
        <w:rPr>
          <w:b/>
          <w:szCs w:val="24"/>
        </w:rPr>
        <w:t>)</w:t>
      </w:r>
    </w:p>
    <w:p w14:paraId="773B6280" w14:textId="77777777" w:rsidR="00BD4FAB" w:rsidRPr="0043191B" w:rsidRDefault="00BD4FAB" w:rsidP="00BD4FAB">
      <w:pPr>
        <w:ind w:left="360"/>
        <w:rPr>
          <w:b/>
          <w:szCs w:val="24"/>
        </w:rPr>
      </w:pPr>
    </w:p>
    <w:p w14:paraId="773B6281" w14:textId="14BA1B85" w:rsidR="00BD4FAB" w:rsidRPr="0043191B" w:rsidRDefault="00291BD5" w:rsidP="00BD4FAB">
      <w:pPr>
        <w:ind w:left="720"/>
        <w:rPr>
          <w:b/>
          <w:szCs w:val="24"/>
        </w:rPr>
      </w:pPr>
      <w:r w:rsidRPr="0043191B">
        <w:rPr>
          <w:b/>
          <w:szCs w:val="24"/>
        </w:rPr>
        <w:t>6.1.1 Types</w:t>
      </w:r>
      <w:r w:rsidR="00BD4FAB" w:rsidRPr="0043191B">
        <w:rPr>
          <w:b/>
          <w:szCs w:val="24"/>
        </w:rPr>
        <w:t>:</w:t>
      </w:r>
    </w:p>
    <w:p w14:paraId="773B6282" w14:textId="77777777" w:rsidR="00BD4FAB" w:rsidRPr="0043191B" w:rsidRDefault="00BD4FAB" w:rsidP="00BD4FAB">
      <w:pPr>
        <w:ind w:left="720"/>
        <w:rPr>
          <w:b/>
          <w:szCs w:val="24"/>
        </w:rPr>
      </w:pPr>
    </w:p>
    <w:p w14:paraId="773B6283" w14:textId="77777777" w:rsidR="00BD4FAB" w:rsidRPr="0043191B" w:rsidRDefault="00BD4FAB" w:rsidP="00291BD5">
      <w:pPr>
        <w:pStyle w:val="ListParagraph"/>
        <w:numPr>
          <w:ilvl w:val="0"/>
          <w:numId w:val="8"/>
        </w:numPr>
        <w:rPr>
          <w:szCs w:val="24"/>
        </w:rPr>
      </w:pPr>
      <w:r w:rsidRPr="0043191B">
        <w:rPr>
          <w:b/>
          <w:szCs w:val="24"/>
        </w:rPr>
        <w:t xml:space="preserve"> Command:</w:t>
      </w:r>
      <w:r w:rsidRPr="0043191B">
        <w:rPr>
          <w:szCs w:val="24"/>
        </w:rPr>
        <w:t xml:space="preserve">  The obligation of a commander to ensure all Government property within his or her command is properly used and cared for, and that proper custody and safekeeping are provided</w:t>
      </w:r>
      <w:r w:rsidR="00565651" w:rsidRPr="0043191B">
        <w:rPr>
          <w:szCs w:val="24"/>
        </w:rPr>
        <w:t>.</w:t>
      </w:r>
    </w:p>
    <w:p w14:paraId="773B6284" w14:textId="77777777" w:rsidR="00BD4FAB" w:rsidRPr="0043191B" w:rsidRDefault="00BD4FAB" w:rsidP="00291BD5">
      <w:pPr>
        <w:pStyle w:val="ListParagraph"/>
        <w:numPr>
          <w:ilvl w:val="0"/>
          <w:numId w:val="8"/>
        </w:numPr>
        <w:rPr>
          <w:szCs w:val="24"/>
        </w:rPr>
      </w:pPr>
      <w:r w:rsidRPr="0043191B">
        <w:rPr>
          <w:b/>
          <w:szCs w:val="24"/>
        </w:rPr>
        <w:lastRenderedPageBreak/>
        <w:t>Supervisory:</w:t>
      </w:r>
      <w:r w:rsidRPr="0043191B">
        <w:rPr>
          <w:szCs w:val="24"/>
        </w:rPr>
        <w:t xml:space="preserve"> The obligation of a supervisor to ensure all Government property issued to or used by his or her subordinates is properly used and cared for, and that proper custody and safekeeping are provided.  This responsibility is inherent to all supervisory positions and is not contingent upon signed hand receipts.</w:t>
      </w:r>
    </w:p>
    <w:p w14:paraId="773B6285" w14:textId="77777777" w:rsidR="00BD4FAB" w:rsidRPr="0043191B" w:rsidRDefault="00BD4FAB" w:rsidP="00291BD5">
      <w:pPr>
        <w:pStyle w:val="ListParagraph"/>
        <w:numPr>
          <w:ilvl w:val="0"/>
          <w:numId w:val="8"/>
        </w:numPr>
        <w:rPr>
          <w:szCs w:val="24"/>
        </w:rPr>
      </w:pPr>
      <w:r w:rsidRPr="0043191B">
        <w:rPr>
          <w:b/>
          <w:szCs w:val="24"/>
        </w:rPr>
        <w:t>Direct:</w:t>
      </w:r>
      <w:r w:rsidRPr="0043191B">
        <w:rPr>
          <w:szCs w:val="24"/>
        </w:rPr>
        <w:t xml:space="preserve"> The obligation of a person to ensure all Government property for which he or she is signed for is properly used and cared for</w:t>
      </w:r>
      <w:r w:rsidR="00565651" w:rsidRPr="0043191B">
        <w:rPr>
          <w:szCs w:val="24"/>
        </w:rPr>
        <w:t>,</w:t>
      </w:r>
      <w:r w:rsidRPr="0043191B">
        <w:rPr>
          <w:szCs w:val="24"/>
        </w:rPr>
        <w:t xml:space="preserve"> and</w:t>
      </w:r>
      <w:r w:rsidR="00565651" w:rsidRPr="0043191B">
        <w:rPr>
          <w:szCs w:val="24"/>
        </w:rPr>
        <w:t xml:space="preserve"> </w:t>
      </w:r>
      <w:r w:rsidRPr="0043191B">
        <w:rPr>
          <w:szCs w:val="24"/>
        </w:rPr>
        <w:t xml:space="preserve">that proper custody and safekeeping are provided.  </w:t>
      </w:r>
    </w:p>
    <w:p w14:paraId="773B6286" w14:textId="77777777" w:rsidR="00BD4FAB" w:rsidRPr="0043191B" w:rsidRDefault="00BD4FAB" w:rsidP="00291BD5">
      <w:pPr>
        <w:pStyle w:val="ListParagraph"/>
        <w:numPr>
          <w:ilvl w:val="0"/>
          <w:numId w:val="8"/>
        </w:numPr>
        <w:rPr>
          <w:szCs w:val="24"/>
        </w:rPr>
      </w:pPr>
      <w:r w:rsidRPr="0043191B">
        <w:rPr>
          <w:b/>
          <w:szCs w:val="24"/>
        </w:rPr>
        <w:t>Custodial:</w:t>
      </w:r>
      <w:r w:rsidRPr="0043191B">
        <w:rPr>
          <w:szCs w:val="24"/>
        </w:rPr>
        <w:t xml:space="preserve"> The obligation of an individual for property in storage awaiting issue or turn-in to exercise reasonable and prudent actions to properly care for</w:t>
      </w:r>
      <w:r w:rsidR="00565651" w:rsidRPr="0043191B">
        <w:rPr>
          <w:szCs w:val="24"/>
        </w:rPr>
        <w:t>,</w:t>
      </w:r>
      <w:r w:rsidRPr="0043191B">
        <w:rPr>
          <w:szCs w:val="24"/>
        </w:rPr>
        <w:t xml:space="preserve"> and</w:t>
      </w:r>
      <w:r w:rsidR="00565651" w:rsidRPr="0043191B">
        <w:rPr>
          <w:szCs w:val="24"/>
        </w:rPr>
        <w:t xml:space="preserve"> </w:t>
      </w:r>
      <w:r w:rsidRPr="0043191B">
        <w:rPr>
          <w:szCs w:val="24"/>
        </w:rPr>
        <w:t xml:space="preserve">ensure proper custody, safekeeping and disposition.  </w:t>
      </w:r>
    </w:p>
    <w:p w14:paraId="773B6287" w14:textId="77777777" w:rsidR="00BD4FAB" w:rsidRPr="0043191B" w:rsidRDefault="00BD4FAB" w:rsidP="00291BD5">
      <w:pPr>
        <w:pStyle w:val="ListParagraph"/>
        <w:numPr>
          <w:ilvl w:val="0"/>
          <w:numId w:val="8"/>
        </w:numPr>
        <w:rPr>
          <w:szCs w:val="24"/>
        </w:rPr>
      </w:pPr>
      <w:r w:rsidRPr="0043191B">
        <w:rPr>
          <w:b/>
          <w:szCs w:val="24"/>
        </w:rPr>
        <w:t>Personal:</w:t>
      </w:r>
      <w:r w:rsidRPr="0043191B">
        <w:rPr>
          <w:szCs w:val="24"/>
        </w:rPr>
        <w:t xml:space="preserve"> The obligation of an individual to properly care for, safeguard and dispose of all Government property in his or her physical possession.  It applies to all property issued for, acquired for</w:t>
      </w:r>
      <w:r w:rsidR="00565651" w:rsidRPr="0043191B">
        <w:rPr>
          <w:szCs w:val="24"/>
        </w:rPr>
        <w:t xml:space="preserve"> </w:t>
      </w:r>
      <w:r w:rsidRPr="0043191B">
        <w:rPr>
          <w:szCs w:val="24"/>
        </w:rPr>
        <w:t>or converted to a person’s exclusive use</w:t>
      </w:r>
      <w:r w:rsidR="00565651" w:rsidRPr="0043191B">
        <w:rPr>
          <w:rStyle w:val="CommentReference"/>
          <w:sz w:val="24"/>
          <w:szCs w:val="24"/>
        </w:rPr>
        <w:t xml:space="preserve"> </w:t>
      </w:r>
      <w:r w:rsidRPr="0043191B">
        <w:rPr>
          <w:szCs w:val="24"/>
        </w:rPr>
        <w:t>(with or without receipt)</w:t>
      </w:r>
      <w:r w:rsidR="00565651" w:rsidRPr="0043191B">
        <w:rPr>
          <w:szCs w:val="24"/>
        </w:rPr>
        <w:t>.</w:t>
      </w:r>
    </w:p>
    <w:p w14:paraId="773B6288" w14:textId="77777777" w:rsidR="00BD4FAB" w:rsidRPr="0043191B" w:rsidRDefault="00BD4FAB" w:rsidP="00BD4FAB">
      <w:pPr>
        <w:ind w:left="720"/>
        <w:rPr>
          <w:szCs w:val="24"/>
        </w:rPr>
      </w:pPr>
    </w:p>
    <w:p w14:paraId="3A66BDA2" w14:textId="77777777" w:rsidR="001A18EE" w:rsidRPr="0043191B" w:rsidRDefault="00565651" w:rsidP="00BD4FAB">
      <w:pPr>
        <w:ind w:left="720"/>
        <w:rPr>
          <w:b/>
          <w:szCs w:val="24"/>
        </w:rPr>
      </w:pPr>
      <w:r w:rsidRPr="0043191B">
        <w:rPr>
          <w:b/>
          <w:szCs w:val="24"/>
        </w:rPr>
        <w:t xml:space="preserve">6.1.2 </w:t>
      </w:r>
      <w:r w:rsidR="00BD4FAB" w:rsidRPr="0043191B">
        <w:rPr>
          <w:b/>
          <w:szCs w:val="24"/>
        </w:rPr>
        <w:t>C</w:t>
      </w:r>
      <w:r w:rsidRPr="0043191B">
        <w:rPr>
          <w:b/>
          <w:szCs w:val="24"/>
        </w:rPr>
        <w:t>ulpability</w:t>
      </w:r>
      <w:r w:rsidR="00BD4FAB" w:rsidRPr="0043191B">
        <w:rPr>
          <w:b/>
          <w:szCs w:val="24"/>
        </w:rPr>
        <w:t>.</w:t>
      </w:r>
    </w:p>
    <w:p w14:paraId="56068891" w14:textId="1285B264" w:rsidR="00291BD5" w:rsidRPr="0043191B" w:rsidRDefault="00BD4FAB" w:rsidP="00BD4FAB">
      <w:pPr>
        <w:ind w:left="720"/>
        <w:rPr>
          <w:szCs w:val="24"/>
        </w:rPr>
      </w:pPr>
      <w:r w:rsidRPr="0043191B">
        <w:rPr>
          <w:szCs w:val="24"/>
        </w:rPr>
        <w:t xml:space="preserve"> </w:t>
      </w:r>
    </w:p>
    <w:p w14:paraId="773B6289" w14:textId="4D935D4C" w:rsidR="00BD4FAB" w:rsidRPr="0043191B" w:rsidRDefault="00BD4FAB" w:rsidP="00291BD5">
      <w:pPr>
        <w:pStyle w:val="ListParagraph"/>
        <w:numPr>
          <w:ilvl w:val="0"/>
          <w:numId w:val="9"/>
        </w:numPr>
        <w:rPr>
          <w:szCs w:val="24"/>
        </w:rPr>
      </w:pPr>
      <w:r w:rsidRPr="0043191B">
        <w:rPr>
          <w:szCs w:val="24"/>
        </w:rPr>
        <w:t>Before a person can be held liable, the facts must clearly show that he or she, through negligence or willful misconduct, violated a particular duty involving the care</w:t>
      </w:r>
      <w:r w:rsidR="001F6C7D">
        <w:rPr>
          <w:szCs w:val="24"/>
        </w:rPr>
        <w:t xml:space="preserve"> and safe guard </w:t>
      </w:r>
      <w:r w:rsidRPr="0043191B">
        <w:rPr>
          <w:szCs w:val="24"/>
        </w:rPr>
        <w:t>of equipment.</w:t>
      </w:r>
    </w:p>
    <w:p w14:paraId="773B628A" w14:textId="77777777" w:rsidR="00BD4FAB" w:rsidRPr="0043191B" w:rsidRDefault="00BD4FAB" w:rsidP="00BD4FAB">
      <w:pPr>
        <w:ind w:left="720"/>
        <w:rPr>
          <w:szCs w:val="24"/>
        </w:rPr>
      </w:pPr>
    </w:p>
    <w:p w14:paraId="147DC694" w14:textId="79EBECE3" w:rsidR="001A18EE" w:rsidRPr="0043191B" w:rsidRDefault="001A18EE" w:rsidP="00BD4FAB">
      <w:pPr>
        <w:ind w:left="720"/>
        <w:rPr>
          <w:b/>
          <w:szCs w:val="24"/>
          <w:u w:val="single"/>
        </w:rPr>
      </w:pPr>
      <w:r w:rsidRPr="0043191B">
        <w:rPr>
          <w:b/>
          <w:szCs w:val="24"/>
        </w:rPr>
        <w:t>6.1.</w:t>
      </w:r>
      <w:r w:rsidR="00041C4D">
        <w:rPr>
          <w:b/>
          <w:szCs w:val="24"/>
        </w:rPr>
        <w:t>3</w:t>
      </w:r>
      <w:r w:rsidRPr="0043191B">
        <w:rPr>
          <w:b/>
          <w:szCs w:val="24"/>
        </w:rPr>
        <w:t xml:space="preserve"> Proximate</w:t>
      </w:r>
      <w:r w:rsidR="00BD4FAB" w:rsidRPr="0043191B">
        <w:rPr>
          <w:b/>
          <w:szCs w:val="24"/>
        </w:rPr>
        <w:t xml:space="preserve"> cause.</w:t>
      </w:r>
      <w:r w:rsidR="00BD4FAB" w:rsidRPr="0043191B">
        <w:rPr>
          <w:b/>
          <w:szCs w:val="24"/>
          <w:u w:val="single"/>
        </w:rPr>
        <w:t xml:space="preserve"> </w:t>
      </w:r>
    </w:p>
    <w:p w14:paraId="3360D38B" w14:textId="77777777" w:rsidR="001A18EE" w:rsidRPr="0043191B" w:rsidRDefault="001A18EE" w:rsidP="00BD4FAB">
      <w:pPr>
        <w:ind w:left="720"/>
        <w:rPr>
          <w:b/>
          <w:szCs w:val="24"/>
          <w:u w:val="single"/>
        </w:rPr>
      </w:pPr>
    </w:p>
    <w:p w14:paraId="773B628F" w14:textId="5EEED309" w:rsidR="00BD4FAB" w:rsidRPr="0043191B" w:rsidRDefault="00BD4FAB" w:rsidP="00E61B51">
      <w:pPr>
        <w:pStyle w:val="ListParagraph"/>
        <w:numPr>
          <w:ilvl w:val="0"/>
          <w:numId w:val="9"/>
        </w:numPr>
        <w:rPr>
          <w:szCs w:val="24"/>
        </w:rPr>
      </w:pPr>
      <w:r w:rsidRPr="0043191B">
        <w:rPr>
          <w:szCs w:val="24"/>
        </w:rPr>
        <w:t xml:space="preserve">Before holding a person financially liable for a loss, the facts must clearly show that the person’s conduct was the “proximate” cause of the </w:t>
      </w:r>
      <w:r w:rsidR="00E61B51" w:rsidRPr="00E61B51">
        <w:rPr>
          <w:szCs w:val="24"/>
        </w:rPr>
        <w:t>loss, damage or destruction</w:t>
      </w:r>
      <w:r w:rsidRPr="0043191B">
        <w:rPr>
          <w:szCs w:val="24"/>
        </w:rPr>
        <w:t>.  (That is, the person’s acts or omissions were the cause that, in a natural and continuous sequence, unbroken by a new cause, produced the loss, and without which, the loss would not have occurred.)</w:t>
      </w:r>
    </w:p>
    <w:p w14:paraId="773B6290" w14:textId="77777777" w:rsidR="00BD4FAB" w:rsidRPr="0043191B" w:rsidRDefault="00BD4FAB" w:rsidP="00BD4FAB">
      <w:pPr>
        <w:ind w:left="720"/>
        <w:rPr>
          <w:b/>
          <w:szCs w:val="24"/>
          <w:u w:val="single"/>
        </w:rPr>
      </w:pPr>
    </w:p>
    <w:p w14:paraId="1490143B" w14:textId="6F3769DE" w:rsidR="001A18EE" w:rsidRPr="0043191B" w:rsidRDefault="001A18EE" w:rsidP="00BD4FAB">
      <w:pPr>
        <w:ind w:left="720"/>
        <w:rPr>
          <w:szCs w:val="24"/>
        </w:rPr>
      </w:pPr>
      <w:r w:rsidRPr="0043191B">
        <w:rPr>
          <w:b/>
          <w:szCs w:val="24"/>
        </w:rPr>
        <w:t>6.1.</w:t>
      </w:r>
      <w:r w:rsidR="00041C4D">
        <w:rPr>
          <w:b/>
          <w:szCs w:val="24"/>
        </w:rPr>
        <w:t>4</w:t>
      </w:r>
      <w:r w:rsidRPr="0043191B">
        <w:rPr>
          <w:b/>
          <w:szCs w:val="24"/>
        </w:rPr>
        <w:t xml:space="preserve"> Loss</w:t>
      </w:r>
      <w:r w:rsidR="00BD4FAB" w:rsidRPr="0043191B">
        <w:rPr>
          <w:b/>
          <w:szCs w:val="24"/>
        </w:rPr>
        <w:t>.</w:t>
      </w:r>
      <w:r w:rsidR="00BD4FAB" w:rsidRPr="0043191B">
        <w:rPr>
          <w:szCs w:val="24"/>
        </w:rPr>
        <w:t xml:space="preserve"> </w:t>
      </w:r>
    </w:p>
    <w:p w14:paraId="24A03797" w14:textId="77777777" w:rsidR="001A18EE" w:rsidRPr="0043191B" w:rsidRDefault="001A18EE" w:rsidP="00BD4FAB">
      <w:pPr>
        <w:ind w:left="720"/>
        <w:rPr>
          <w:szCs w:val="24"/>
        </w:rPr>
      </w:pPr>
    </w:p>
    <w:p w14:paraId="773B6291" w14:textId="11607220" w:rsidR="00BD4FAB" w:rsidRPr="0043191B" w:rsidRDefault="00BD4FAB" w:rsidP="00314EA3">
      <w:pPr>
        <w:pStyle w:val="ListParagraph"/>
        <w:numPr>
          <w:ilvl w:val="0"/>
          <w:numId w:val="9"/>
        </w:numPr>
        <w:rPr>
          <w:szCs w:val="24"/>
        </w:rPr>
      </w:pPr>
      <w:r w:rsidRPr="0043191B">
        <w:rPr>
          <w:szCs w:val="24"/>
        </w:rPr>
        <w:t>Before holding a person financially liable, the facts must show that a loss to the Government occurred.  Loss includes a loss from accountability.  Property is considered lost when it cannot be accounted for by the last person in the audit trail</w:t>
      </w:r>
      <w:r w:rsidR="00314EA3">
        <w:rPr>
          <w:szCs w:val="24"/>
        </w:rPr>
        <w:t xml:space="preserve"> </w:t>
      </w:r>
      <w:r w:rsidR="00314EA3" w:rsidRPr="00314EA3">
        <w:rPr>
          <w:szCs w:val="24"/>
        </w:rPr>
        <w:t>either physically and through a supporting document the audit trail.</w:t>
      </w:r>
      <w:r w:rsidRPr="0043191B">
        <w:rPr>
          <w:szCs w:val="24"/>
        </w:rPr>
        <w:t>.</w:t>
      </w:r>
    </w:p>
    <w:p w14:paraId="773B6292" w14:textId="77777777" w:rsidR="00BD4FAB" w:rsidRPr="0043191B" w:rsidRDefault="00BD4FAB" w:rsidP="00BD4FAB">
      <w:pPr>
        <w:ind w:left="720"/>
        <w:rPr>
          <w:szCs w:val="24"/>
        </w:rPr>
      </w:pPr>
    </w:p>
    <w:p w14:paraId="53EAE386" w14:textId="66A85527" w:rsidR="001A18EE" w:rsidRPr="0043191B" w:rsidRDefault="001A18EE" w:rsidP="00BD4FAB">
      <w:pPr>
        <w:ind w:left="720"/>
        <w:rPr>
          <w:b/>
          <w:szCs w:val="24"/>
        </w:rPr>
      </w:pPr>
      <w:r w:rsidRPr="0043191B">
        <w:rPr>
          <w:b/>
          <w:szCs w:val="24"/>
        </w:rPr>
        <w:t>6.1.</w:t>
      </w:r>
      <w:r w:rsidR="00041C4D">
        <w:rPr>
          <w:b/>
          <w:szCs w:val="24"/>
        </w:rPr>
        <w:t>5</w:t>
      </w:r>
      <w:r w:rsidRPr="0043191B">
        <w:rPr>
          <w:b/>
          <w:szCs w:val="24"/>
        </w:rPr>
        <w:t xml:space="preserve"> Direct</w:t>
      </w:r>
      <w:r w:rsidR="00BD4FAB" w:rsidRPr="0043191B">
        <w:rPr>
          <w:b/>
          <w:szCs w:val="24"/>
        </w:rPr>
        <w:t xml:space="preserve"> Resp</w:t>
      </w:r>
      <w:r w:rsidRPr="0043191B">
        <w:rPr>
          <w:b/>
          <w:szCs w:val="24"/>
        </w:rPr>
        <w:t>onsibility. (AR735-5, para 2-9).</w:t>
      </w:r>
    </w:p>
    <w:p w14:paraId="773B6293" w14:textId="33BB18AD" w:rsidR="00BD4FAB" w:rsidRPr="0043191B" w:rsidRDefault="00BD4FAB" w:rsidP="001A18EE">
      <w:pPr>
        <w:pStyle w:val="ListParagraph"/>
        <w:numPr>
          <w:ilvl w:val="0"/>
          <w:numId w:val="9"/>
        </w:numPr>
        <w:rPr>
          <w:b/>
          <w:szCs w:val="24"/>
        </w:rPr>
      </w:pPr>
      <w:r w:rsidRPr="0043191B">
        <w:rPr>
          <w:szCs w:val="24"/>
        </w:rPr>
        <w:t xml:space="preserve">At the property book level, the appointment as a </w:t>
      </w:r>
      <w:r w:rsidR="001646EE" w:rsidRPr="0043191B">
        <w:rPr>
          <w:szCs w:val="24"/>
        </w:rPr>
        <w:t>Property Book Officer (PBO)</w:t>
      </w:r>
      <w:r w:rsidRPr="0043191B">
        <w:rPr>
          <w:szCs w:val="24"/>
        </w:rPr>
        <w:t xml:space="preserve"> carries with it direct responsibility for all the property carried on the property book records that has not been issued on hand receipt. Property issued by a PBO on hand receipt (called the primary hand receipt) carries with it the delegation of direct responsibility for the property listed. Further hand receipting (</w:t>
      </w:r>
      <w:r w:rsidR="00295F9E" w:rsidRPr="0043191B">
        <w:rPr>
          <w:szCs w:val="24"/>
        </w:rPr>
        <w:t>sub hand</w:t>
      </w:r>
      <w:r w:rsidRPr="0043191B">
        <w:rPr>
          <w:szCs w:val="24"/>
        </w:rPr>
        <w:t xml:space="preserve"> receipting) does not transfer direct responsibility nor relieve the primary hand receipt holder of his or her duties.</w:t>
      </w:r>
    </w:p>
    <w:p w14:paraId="773B6294" w14:textId="77777777" w:rsidR="00BD4FAB" w:rsidRPr="0043191B" w:rsidRDefault="00BD4FAB" w:rsidP="00BD4FAB">
      <w:pPr>
        <w:ind w:left="405"/>
        <w:rPr>
          <w:szCs w:val="24"/>
        </w:rPr>
      </w:pPr>
    </w:p>
    <w:p w14:paraId="773B6295" w14:textId="77777777" w:rsidR="00BD4FAB" w:rsidRPr="0043191B" w:rsidRDefault="00BD4FAB" w:rsidP="00A044AC">
      <w:pPr>
        <w:pStyle w:val="ListParagraph"/>
        <w:numPr>
          <w:ilvl w:val="0"/>
          <w:numId w:val="7"/>
        </w:numPr>
        <w:rPr>
          <w:b/>
          <w:bCs/>
          <w:szCs w:val="24"/>
        </w:rPr>
      </w:pPr>
      <w:bookmarkStart w:id="6" w:name="Procedures"/>
      <w:bookmarkEnd w:id="6"/>
      <w:r w:rsidRPr="0043191B">
        <w:rPr>
          <w:b/>
          <w:bCs/>
          <w:szCs w:val="24"/>
        </w:rPr>
        <w:t>Procedures.</w:t>
      </w:r>
    </w:p>
    <w:p w14:paraId="773B6296" w14:textId="77777777" w:rsidR="00BD4FAB" w:rsidRPr="0043191B" w:rsidRDefault="00BD4FAB" w:rsidP="00BD4FAB">
      <w:pPr>
        <w:rPr>
          <w:b/>
          <w:bCs/>
          <w:szCs w:val="24"/>
        </w:rPr>
      </w:pPr>
    </w:p>
    <w:p w14:paraId="773B6297" w14:textId="14545BC5" w:rsidR="00BD4FAB" w:rsidRPr="0043191B" w:rsidRDefault="00BD4FAB" w:rsidP="00BD4FAB">
      <w:pPr>
        <w:ind w:left="405"/>
        <w:rPr>
          <w:b/>
          <w:szCs w:val="24"/>
        </w:rPr>
      </w:pPr>
      <w:r w:rsidRPr="0043191B">
        <w:rPr>
          <w:b/>
          <w:szCs w:val="24"/>
        </w:rPr>
        <w:lastRenderedPageBreak/>
        <w:t xml:space="preserve">7.1 </w:t>
      </w:r>
      <w:r w:rsidR="001646EE" w:rsidRPr="0043191B">
        <w:rPr>
          <w:b/>
          <w:szCs w:val="24"/>
        </w:rPr>
        <w:t xml:space="preserve">Financial Liability Investigation of Property Loss </w:t>
      </w:r>
      <w:r w:rsidRPr="0043191B">
        <w:rPr>
          <w:b/>
          <w:szCs w:val="24"/>
        </w:rPr>
        <w:t xml:space="preserve">will be initiated </w:t>
      </w:r>
      <w:r w:rsidR="003A4AE4" w:rsidRPr="0043191B">
        <w:rPr>
          <w:b/>
          <w:szCs w:val="24"/>
        </w:rPr>
        <w:t xml:space="preserve">following the Guidance </w:t>
      </w:r>
      <w:r w:rsidR="001A18EE" w:rsidRPr="0043191B">
        <w:rPr>
          <w:b/>
          <w:szCs w:val="24"/>
        </w:rPr>
        <w:t>in (</w:t>
      </w:r>
      <w:r w:rsidRPr="0043191B">
        <w:rPr>
          <w:b/>
          <w:szCs w:val="24"/>
        </w:rPr>
        <w:t xml:space="preserve">AR735-5, </w:t>
      </w:r>
      <w:r w:rsidR="00733BE0" w:rsidRPr="0043191B">
        <w:rPr>
          <w:b/>
          <w:szCs w:val="24"/>
        </w:rPr>
        <w:t>p</w:t>
      </w:r>
      <w:r w:rsidR="00AF62B8" w:rsidRPr="0043191B">
        <w:rPr>
          <w:b/>
          <w:szCs w:val="24"/>
        </w:rPr>
        <w:t>ara</w:t>
      </w:r>
      <w:r w:rsidR="0030678E" w:rsidRPr="0043191B">
        <w:rPr>
          <w:b/>
          <w:szCs w:val="24"/>
        </w:rPr>
        <w:t xml:space="preserve"> 13-3)</w:t>
      </w:r>
    </w:p>
    <w:p w14:paraId="773B6298" w14:textId="77777777" w:rsidR="00BD4FAB" w:rsidRPr="0043191B" w:rsidRDefault="00BD4FAB" w:rsidP="00BD4FAB">
      <w:pPr>
        <w:rPr>
          <w:szCs w:val="24"/>
        </w:rPr>
      </w:pPr>
    </w:p>
    <w:p w14:paraId="773B6299" w14:textId="77777777" w:rsidR="00BD4FAB" w:rsidRPr="0043191B" w:rsidRDefault="00AF62B8" w:rsidP="00BD4FAB">
      <w:pPr>
        <w:pStyle w:val="ListParagraph"/>
        <w:ind w:left="405"/>
        <w:rPr>
          <w:b/>
          <w:bCs/>
          <w:szCs w:val="24"/>
        </w:rPr>
      </w:pPr>
      <w:r w:rsidRPr="0043191B">
        <w:rPr>
          <w:b/>
          <w:bCs/>
          <w:szCs w:val="24"/>
        </w:rPr>
        <w:t>7.2 Time</w:t>
      </w:r>
      <w:r w:rsidR="00BD4FAB" w:rsidRPr="0043191B">
        <w:rPr>
          <w:b/>
          <w:bCs/>
          <w:szCs w:val="24"/>
        </w:rPr>
        <w:t xml:space="preserve"> </w:t>
      </w:r>
      <w:r w:rsidR="001646EE" w:rsidRPr="0043191B">
        <w:rPr>
          <w:b/>
          <w:bCs/>
          <w:szCs w:val="24"/>
        </w:rPr>
        <w:t>C</w:t>
      </w:r>
      <w:r w:rsidR="00BD4FAB" w:rsidRPr="0043191B">
        <w:rPr>
          <w:b/>
          <w:bCs/>
          <w:szCs w:val="24"/>
        </w:rPr>
        <w:t xml:space="preserve">onstraints (AR735-5, </w:t>
      </w:r>
      <w:r w:rsidR="00733BE0" w:rsidRPr="0043191B">
        <w:rPr>
          <w:b/>
          <w:bCs/>
          <w:szCs w:val="24"/>
        </w:rPr>
        <w:t>p</w:t>
      </w:r>
      <w:r w:rsidRPr="0043191B">
        <w:rPr>
          <w:b/>
          <w:bCs/>
          <w:szCs w:val="24"/>
        </w:rPr>
        <w:t>ara</w:t>
      </w:r>
      <w:r w:rsidR="00BD4FAB" w:rsidRPr="0043191B">
        <w:rPr>
          <w:b/>
          <w:bCs/>
          <w:szCs w:val="24"/>
        </w:rPr>
        <w:t xml:space="preserve"> 13-6, 13-8)</w:t>
      </w:r>
    </w:p>
    <w:p w14:paraId="773B629A" w14:textId="77777777" w:rsidR="00BD4FAB" w:rsidRPr="0043191B" w:rsidRDefault="00BD4FAB" w:rsidP="00BD4FAB">
      <w:pPr>
        <w:pStyle w:val="ListParagraph"/>
        <w:ind w:left="405"/>
        <w:rPr>
          <w:b/>
          <w:bCs/>
          <w:szCs w:val="24"/>
        </w:rPr>
      </w:pPr>
    </w:p>
    <w:p w14:paraId="773B629B" w14:textId="77777777" w:rsidR="00BD4FAB" w:rsidRPr="0043191B" w:rsidRDefault="00BD4FAB" w:rsidP="00BD4FAB">
      <w:pPr>
        <w:pStyle w:val="ListParagraph"/>
        <w:numPr>
          <w:ilvl w:val="0"/>
          <w:numId w:val="5"/>
        </w:numPr>
        <w:rPr>
          <w:szCs w:val="24"/>
        </w:rPr>
      </w:pPr>
      <w:r w:rsidRPr="0043191B">
        <w:rPr>
          <w:szCs w:val="24"/>
        </w:rPr>
        <w:t>Must be presented to appointing authority within 15 calendar days of the date of the discrepancy.</w:t>
      </w:r>
    </w:p>
    <w:p w14:paraId="773B629C" w14:textId="42BE8B1B" w:rsidR="00BD4FAB" w:rsidRPr="0043191B" w:rsidRDefault="00BD4FAB" w:rsidP="005E7E1C">
      <w:pPr>
        <w:pStyle w:val="ListParagraph"/>
        <w:numPr>
          <w:ilvl w:val="0"/>
          <w:numId w:val="5"/>
        </w:numPr>
        <w:rPr>
          <w:szCs w:val="24"/>
        </w:rPr>
      </w:pPr>
      <w:r w:rsidRPr="0043191B">
        <w:rPr>
          <w:szCs w:val="24"/>
        </w:rPr>
        <w:t xml:space="preserve">Total processing time will not exceed </w:t>
      </w:r>
      <w:r w:rsidR="003B6391" w:rsidRPr="003B6391">
        <w:rPr>
          <w:b/>
          <w:szCs w:val="24"/>
        </w:rPr>
        <w:t>70</w:t>
      </w:r>
      <w:r w:rsidRPr="003B6391">
        <w:rPr>
          <w:b/>
          <w:szCs w:val="24"/>
        </w:rPr>
        <w:t xml:space="preserve"> days</w:t>
      </w:r>
      <w:r w:rsidR="003B6391" w:rsidRPr="003B6391">
        <w:rPr>
          <w:b/>
          <w:szCs w:val="24"/>
        </w:rPr>
        <w:t xml:space="preserve"> (USACE standard)</w:t>
      </w:r>
      <w:r w:rsidRPr="0043191B">
        <w:rPr>
          <w:szCs w:val="24"/>
        </w:rPr>
        <w:t xml:space="preserve"> from the discovery of the </w:t>
      </w:r>
      <w:r w:rsidR="005E7E1C" w:rsidRPr="005E7E1C">
        <w:rPr>
          <w:szCs w:val="24"/>
        </w:rPr>
        <w:t>loss, damage</w:t>
      </w:r>
      <w:r w:rsidR="005E7E1C">
        <w:rPr>
          <w:szCs w:val="24"/>
        </w:rPr>
        <w:t>,</w:t>
      </w:r>
      <w:r w:rsidR="005E7E1C" w:rsidRPr="005E7E1C">
        <w:rPr>
          <w:szCs w:val="24"/>
        </w:rPr>
        <w:t xml:space="preserve"> or destruction</w:t>
      </w:r>
      <w:r w:rsidRPr="0043191B">
        <w:rPr>
          <w:szCs w:val="24"/>
        </w:rPr>
        <w:t xml:space="preserve"> to the date of approval.</w:t>
      </w:r>
    </w:p>
    <w:p w14:paraId="773B629D" w14:textId="14A9CEB2" w:rsidR="00BD4FAB" w:rsidRPr="0043191B" w:rsidRDefault="00BD4FAB" w:rsidP="00BD4FAB">
      <w:pPr>
        <w:pStyle w:val="ListParagraph"/>
        <w:numPr>
          <w:ilvl w:val="0"/>
          <w:numId w:val="5"/>
        </w:numPr>
        <w:rPr>
          <w:szCs w:val="24"/>
        </w:rPr>
      </w:pPr>
      <w:r w:rsidRPr="0043191B">
        <w:rPr>
          <w:szCs w:val="24"/>
        </w:rPr>
        <w:t xml:space="preserve">Any delays will be explained in a letter of lateness written by the </w:t>
      </w:r>
      <w:r w:rsidR="00463580">
        <w:rPr>
          <w:szCs w:val="24"/>
        </w:rPr>
        <w:t>individual</w:t>
      </w:r>
      <w:r w:rsidRPr="0043191B">
        <w:rPr>
          <w:szCs w:val="24"/>
        </w:rPr>
        <w:t xml:space="preserve"> responsible for the delay.</w:t>
      </w:r>
    </w:p>
    <w:p w14:paraId="773B629E" w14:textId="77777777" w:rsidR="00BD4FAB" w:rsidRPr="0043191B" w:rsidRDefault="00BD4FAB" w:rsidP="00BD4FAB">
      <w:pPr>
        <w:autoSpaceDE w:val="0"/>
        <w:autoSpaceDN w:val="0"/>
        <w:adjustRightInd w:val="0"/>
        <w:rPr>
          <w:b/>
          <w:szCs w:val="24"/>
        </w:rPr>
      </w:pPr>
    </w:p>
    <w:p w14:paraId="773B629F" w14:textId="0BB6A1C7" w:rsidR="00BD4FAB" w:rsidRDefault="00A53BFF" w:rsidP="00A53BFF">
      <w:pPr>
        <w:ind w:left="405"/>
        <w:rPr>
          <w:b/>
          <w:szCs w:val="24"/>
        </w:rPr>
      </w:pPr>
      <w:r w:rsidRPr="0043191B">
        <w:rPr>
          <w:b/>
          <w:szCs w:val="24"/>
        </w:rPr>
        <w:t xml:space="preserve">  </w:t>
      </w:r>
      <w:r w:rsidR="001A18EE" w:rsidRPr="0043191B">
        <w:rPr>
          <w:b/>
          <w:szCs w:val="24"/>
        </w:rPr>
        <w:t>7.3 Investigation</w:t>
      </w:r>
      <w:r w:rsidRPr="0043191B">
        <w:rPr>
          <w:b/>
          <w:szCs w:val="24"/>
        </w:rPr>
        <w:t xml:space="preserve"> of Property Loss, Damaged or Destroyed (LDD)</w:t>
      </w:r>
    </w:p>
    <w:p w14:paraId="489911E1" w14:textId="77777777" w:rsidR="00B17BC3" w:rsidRDefault="00B17BC3" w:rsidP="00A53BFF">
      <w:pPr>
        <w:ind w:left="405"/>
        <w:rPr>
          <w:b/>
          <w:szCs w:val="24"/>
        </w:rPr>
      </w:pPr>
    </w:p>
    <w:p w14:paraId="773B62A2" w14:textId="21A02899" w:rsidR="00506905" w:rsidRPr="0043191B" w:rsidRDefault="00BD4FAB" w:rsidP="00812C57">
      <w:pPr>
        <w:pStyle w:val="ListParagraph"/>
        <w:numPr>
          <w:ilvl w:val="0"/>
          <w:numId w:val="10"/>
        </w:numPr>
        <w:autoSpaceDE w:val="0"/>
        <w:autoSpaceDN w:val="0"/>
        <w:adjustRightInd w:val="0"/>
        <w:ind w:left="1080"/>
        <w:rPr>
          <w:szCs w:val="24"/>
        </w:rPr>
      </w:pPr>
      <w:r w:rsidRPr="0043191B">
        <w:rPr>
          <w:b/>
          <w:bCs/>
          <w:szCs w:val="24"/>
        </w:rPr>
        <w:t>Step 1</w:t>
      </w:r>
      <w:r w:rsidRPr="0043191B">
        <w:rPr>
          <w:szCs w:val="24"/>
        </w:rPr>
        <w:t xml:space="preserve">.  The hand receipt holder, supervisor, person with the most knowledge or accountable officer when circumstances warrant, will initiate a financial liability investigation. </w:t>
      </w:r>
      <w:r w:rsidR="00AE5BA6" w:rsidRPr="0043191B">
        <w:rPr>
          <w:szCs w:val="24"/>
        </w:rPr>
        <w:t>The initiator of the investigation</w:t>
      </w:r>
      <w:r w:rsidRPr="0043191B">
        <w:rPr>
          <w:szCs w:val="24"/>
        </w:rPr>
        <w:t xml:space="preserve"> will fill out blocks 1 through 10 and sign block 11 on DD200. </w:t>
      </w:r>
      <w:r w:rsidR="00AE5BA6" w:rsidRPr="0043191B">
        <w:rPr>
          <w:szCs w:val="24"/>
        </w:rPr>
        <w:t>The initiator of the investigation</w:t>
      </w:r>
      <w:r w:rsidR="00BE513F" w:rsidRPr="0043191B">
        <w:rPr>
          <w:szCs w:val="24"/>
        </w:rPr>
        <w:t xml:space="preserve"> will prepare </w:t>
      </w:r>
      <w:r w:rsidRPr="0043191B">
        <w:rPr>
          <w:szCs w:val="24"/>
        </w:rPr>
        <w:t xml:space="preserve">a DD200 in as many copies as local command prescribes. </w:t>
      </w:r>
      <w:r w:rsidR="00AE5BA6" w:rsidRPr="0043191B">
        <w:rPr>
          <w:szCs w:val="24"/>
        </w:rPr>
        <w:t>He or she</w:t>
      </w:r>
      <w:r w:rsidR="00BE513F" w:rsidRPr="0043191B">
        <w:rPr>
          <w:szCs w:val="24"/>
        </w:rPr>
        <w:t xml:space="preserve"> will prepare</w:t>
      </w:r>
      <w:r w:rsidRPr="0043191B">
        <w:rPr>
          <w:szCs w:val="24"/>
        </w:rPr>
        <w:t xml:space="preserve"> an additional copy when any of the individuals mentioned in block 9 are within 6 months of termination of their service or employment. This copy will be provided to the installation </w:t>
      </w:r>
      <w:r w:rsidR="00AF62B8" w:rsidRPr="0043191B">
        <w:rPr>
          <w:szCs w:val="24"/>
        </w:rPr>
        <w:t>Finance and Accounting Officer (FAO)</w:t>
      </w:r>
      <w:r w:rsidRPr="0043191B">
        <w:rPr>
          <w:szCs w:val="24"/>
        </w:rPr>
        <w:t>. (Figure 10.1)</w:t>
      </w:r>
      <w:r w:rsidR="0098209D" w:rsidRPr="0043191B">
        <w:rPr>
          <w:szCs w:val="24"/>
        </w:rPr>
        <w:t xml:space="preserve"> </w:t>
      </w:r>
      <w:r w:rsidR="001646EE" w:rsidRPr="0043191B">
        <w:rPr>
          <w:szCs w:val="24"/>
        </w:rPr>
        <w:t>I</w:t>
      </w:r>
      <w:r w:rsidRPr="0043191B">
        <w:rPr>
          <w:szCs w:val="24"/>
        </w:rPr>
        <w:t>n addition</w:t>
      </w:r>
      <w:r w:rsidR="001646EE" w:rsidRPr="0043191B">
        <w:rPr>
          <w:rStyle w:val="CommentReference"/>
          <w:sz w:val="24"/>
          <w:szCs w:val="24"/>
        </w:rPr>
        <w:t>,</w:t>
      </w:r>
      <w:r w:rsidRPr="0043191B">
        <w:rPr>
          <w:szCs w:val="24"/>
        </w:rPr>
        <w:t xml:space="preserve"> </w:t>
      </w:r>
      <w:r w:rsidR="00BE513F" w:rsidRPr="0043191B">
        <w:rPr>
          <w:szCs w:val="24"/>
        </w:rPr>
        <w:t xml:space="preserve">the initiator of the investigation will prepare </w:t>
      </w:r>
      <w:r w:rsidRPr="0043191B">
        <w:rPr>
          <w:szCs w:val="24"/>
        </w:rPr>
        <w:t>a Checklist and Tracking Document for Financial Liability Investigations of Property Loss, DA7531</w:t>
      </w:r>
      <w:r w:rsidR="00BE513F" w:rsidRPr="0043191B">
        <w:rPr>
          <w:szCs w:val="24"/>
        </w:rPr>
        <w:t xml:space="preserve"> </w:t>
      </w:r>
      <w:r w:rsidR="0098209D" w:rsidRPr="0043191B">
        <w:rPr>
          <w:szCs w:val="24"/>
        </w:rPr>
        <w:t>and complete elements in part A as events occur.</w:t>
      </w:r>
      <w:r w:rsidRPr="0043191B">
        <w:rPr>
          <w:szCs w:val="24"/>
        </w:rPr>
        <w:t xml:space="preserve"> </w:t>
      </w:r>
      <w:r w:rsidR="00BE513F" w:rsidRPr="0043191B">
        <w:rPr>
          <w:szCs w:val="24"/>
        </w:rPr>
        <w:t xml:space="preserve">The initiator will attach </w:t>
      </w:r>
      <w:r w:rsidRPr="0043191B">
        <w:rPr>
          <w:szCs w:val="24"/>
        </w:rPr>
        <w:t>and turn in tracking document with FLIPL. See figure 13–3, AR 735-5 for a sample of DA Form 7531.  (Figure 10.3)</w:t>
      </w:r>
      <w:r w:rsidR="001A18EE" w:rsidRPr="0043191B">
        <w:rPr>
          <w:szCs w:val="24"/>
        </w:rPr>
        <w:t xml:space="preserve">. </w:t>
      </w:r>
      <w:r w:rsidRPr="0043191B">
        <w:rPr>
          <w:szCs w:val="24"/>
        </w:rPr>
        <w:t>The Primary Hand Rece</w:t>
      </w:r>
      <w:r w:rsidR="0098209D" w:rsidRPr="0043191B">
        <w:rPr>
          <w:szCs w:val="24"/>
        </w:rPr>
        <w:t xml:space="preserve">ipt Holder/Supervisor will fill </w:t>
      </w:r>
      <w:r w:rsidR="00AF62B8" w:rsidRPr="0043191B">
        <w:rPr>
          <w:szCs w:val="24"/>
        </w:rPr>
        <w:t>out;</w:t>
      </w:r>
      <w:r w:rsidRPr="0043191B">
        <w:rPr>
          <w:szCs w:val="24"/>
        </w:rPr>
        <w:t xml:space="preserve"> sign and date block 12</w:t>
      </w:r>
      <w:r w:rsidR="0098209D" w:rsidRPr="0043191B">
        <w:rPr>
          <w:szCs w:val="24"/>
        </w:rPr>
        <w:t>, and forward the FLIPL to their Supply Tech for review.  (Figure 10.4)</w:t>
      </w:r>
    </w:p>
    <w:p w14:paraId="773B62A3" w14:textId="77777777" w:rsidR="00506905" w:rsidRPr="0043191B" w:rsidRDefault="00506905" w:rsidP="001A18EE">
      <w:pPr>
        <w:autoSpaceDE w:val="0"/>
        <w:autoSpaceDN w:val="0"/>
        <w:adjustRightInd w:val="0"/>
        <w:ind w:left="360"/>
        <w:rPr>
          <w:szCs w:val="24"/>
        </w:rPr>
      </w:pPr>
    </w:p>
    <w:p w14:paraId="773B62A4" w14:textId="77777777" w:rsidR="00BD4FAB" w:rsidRPr="0043191B" w:rsidRDefault="00506905" w:rsidP="001A18EE">
      <w:pPr>
        <w:pStyle w:val="ListParagraph"/>
        <w:numPr>
          <w:ilvl w:val="0"/>
          <w:numId w:val="10"/>
        </w:numPr>
        <w:autoSpaceDE w:val="0"/>
        <w:autoSpaceDN w:val="0"/>
        <w:adjustRightInd w:val="0"/>
        <w:ind w:left="1080"/>
        <w:rPr>
          <w:szCs w:val="24"/>
        </w:rPr>
      </w:pPr>
      <w:r w:rsidRPr="0043191B">
        <w:rPr>
          <w:b/>
          <w:bCs/>
          <w:szCs w:val="24"/>
        </w:rPr>
        <w:t>Step 2</w:t>
      </w:r>
      <w:r w:rsidR="00BD4FAB" w:rsidRPr="0043191B">
        <w:rPr>
          <w:b/>
          <w:bCs/>
          <w:szCs w:val="24"/>
        </w:rPr>
        <w:t xml:space="preserve">.  </w:t>
      </w:r>
      <w:r w:rsidR="00BD4FAB" w:rsidRPr="0043191B">
        <w:rPr>
          <w:bCs/>
          <w:szCs w:val="24"/>
        </w:rPr>
        <w:t xml:space="preserve">The </w:t>
      </w:r>
      <w:r w:rsidR="00BD4FAB" w:rsidRPr="0043191B">
        <w:rPr>
          <w:szCs w:val="24"/>
        </w:rPr>
        <w:t xml:space="preserve">Primary Hand Receipt Holder/Supervisor </w:t>
      </w:r>
      <w:r w:rsidR="00BD4FAB" w:rsidRPr="0043191B">
        <w:rPr>
          <w:bCs/>
          <w:szCs w:val="24"/>
        </w:rPr>
        <w:t>will turn the FLIPL in to their Supply Tech. The Supply Tech will ensure all documentation is correct</w:t>
      </w:r>
      <w:r w:rsidRPr="0043191B">
        <w:rPr>
          <w:bCs/>
          <w:szCs w:val="24"/>
        </w:rPr>
        <w:t xml:space="preserve"> and</w:t>
      </w:r>
      <w:r w:rsidR="00BD4FAB" w:rsidRPr="0043191B">
        <w:rPr>
          <w:bCs/>
          <w:szCs w:val="24"/>
        </w:rPr>
        <w:t xml:space="preserve"> statements are filled out and labeled in accordance with (IAW) AR735-5 13-9(b)(3). Once the FLIPL is correctly filled out, the Supply Tech will forward the FLIPL to the LDP.</w:t>
      </w:r>
    </w:p>
    <w:p w14:paraId="773B62A5" w14:textId="77777777" w:rsidR="00BD4FAB" w:rsidRPr="0043191B" w:rsidRDefault="00BD4FAB" w:rsidP="001A18EE">
      <w:pPr>
        <w:autoSpaceDE w:val="0"/>
        <w:autoSpaceDN w:val="0"/>
        <w:adjustRightInd w:val="0"/>
        <w:ind w:left="360"/>
        <w:rPr>
          <w:szCs w:val="24"/>
        </w:rPr>
      </w:pPr>
    </w:p>
    <w:p w14:paraId="773B62A6" w14:textId="77777777" w:rsidR="00BD4FAB" w:rsidRPr="0043191B" w:rsidRDefault="00BD4FAB" w:rsidP="001A18EE">
      <w:pPr>
        <w:pStyle w:val="ListParagraph"/>
        <w:numPr>
          <w:ilvl w:val="0"/>
          <w:numId w:val="10"/>
        </w:numPr>
        <w:autoSpaceDE w:val="0"/>
        <w:autoSpaceDN w:val="0"/>
        <w:adjustRightInd w:val="0"/>
        <w:ind w:left="1080"/>
        <w:rPr>
          <w:bCs/>
          <w:szCs w:val="24"/>
        </w:rPr>
      </w:pPr>
      <w:r w:rsidRPr="0043191B">
        <w:rPr>
          <w:b/>
          <w:bCs/>
          <w:szCs w:val="24"/>
        </w:rPr>
        <w:t>Step 3.</w:t>
      </w:r>
      <w:r w:rsidRPr="0043191B">
        <w:rPr>
          <w:bCs/>
          <w:szCs w:val="24"/>
        </w:rPr>
        <w:t xml:space="preserve">  The LDP will review the FLIPL to determine if fraud, waste or abuse is evidenced</w:t>
      </w:r>
      <w:r w:rsidR="00506905" w:rsidRPr="0043191B">
        <w:rPr>
          <w:bCs/>
          <w:szCs w:val="24"/>
        </w:rPr>
        <w:t xml:space="preserve">. The </w:t>
      </w:r>
      <w:r w:rsidRPr="0043191B">
        <w:rPr>
          <w:bCs/>
          <w:szCs w:val="24"/>
        </w:rPr>
        <w:t>LDP will recommend if further investigation is necessary (long FLIPL) or if no investigation is warranted (short FLIPL)</w:t>
      </w:r>
      <w:r w:rsidR="00506905" w:rsidRPr="0043191B">
        <w:rPr>
          <w:bCs/>
          <w:szCs w:val="24"/>
        </w:rPr>
        <w:t xml:space="preserve"> to the Appointing Authority</w:t>
      </w:r>
      <w:r w:rsidRPr="0043191B">
        <w:rPr>
          <w:bCs/>
          <w:szCs w:val="24"/>
        </w:rPr>
        <w:t xml:space="preserve">. At that point the FLIPL is logged into the FLIPL register DA1659 and </w:t>
      </w:r>
      <w:r w:rsidR="00506905" w:rsidRPr="0043191B">
        <w:rPr>
          <w:bCs/>
          <w:szCs w:val="24"/>
        </w:rPr>
        <w:t>assigned a voucher number</w:t>
      </w:r>
      <w:r w:rsidRPr="0043191B">
        <w:rPr>
          <w:bCs/>
          <w:szCs w:val="24"/>
        </w:rPr>
        <w:t xml:space="preserve">. A </w:t>
      </w:r>
      <w:r w:rsidR="00506905" w:rsidRPr="0043191B">
        <w:rPr>
          <w:bCs/>
          <w:szCs w:val="24"/>
        </w:rPr>
        <w:t>copy of the FLIPL</w:t>
      </w:r>
      <w:r w:rsidRPr="0043191B">
        <w:rPr>
          <w:bCs/>
          <w:szCs w:val="24"/>
        </w:rPr>
        <w:t xml:space="preserve"> is maintained for tracking purposes until the FLIPL is closed out. </w:t>
      </w:r>
      <w:r w:rsidR="00506905" w:rsidRPr="0043191B">
        <w:rPr>
          <w:bCs/>
          <w:szCs w:val="24"/>
        </w:rPr>
        <w:t xml:space="preserve">The </w:t>
      </w:r>
      <w:r w:rsidRPr="0043191B">
        <w:rPr>
          <w:bCs/>
          <w:szCs w:val="24"/>
        </w:rPr>
        <w:t xml:space="preserve">LDP will forward the FLIPL to the </w:t>
      </w:r>
      <w:r w:rsidR="00506905" w:rsidRPr="0043191B">
        <w:rPr>
          <w:bCs/>
          <w:szCs w:val="24"/>
        </w:rPr>
        <w:t>PBO to acquire a document number.</w:t>
      </w:r>
    </w:p>
    <w:p w14:paraId="773B62A7" w14:textId="77777777" w:rsidR="0030678E" w:rsidRPr="0043191B" w:rsidRDefault="0030678E" w:rsidP="00BD4FAB">
      <w:pPr>
        <w:autoSpaceDE w:val="0"/>
        <w:autoSpaceDN w:val="0"/>
        <w:adjustRightInd w:val="0"/>
        <w:ind w:left="720"/>
        <w:rPr>
          <w:szCs w:val="24"/>
        </w:rPr>
      </w:pPr>
    </w:p>
    <w:p w14:paraId="773B62A8" w14:textId="77777777" w:rsidR="0030678E" w:rsidRPr="0043191B" w:rsidRDefault="0030678E" w:rsidP="005B7138">
      <w:pPr>
        <w:pStyle w:val="ListParagraph"/>
        <w:numPr>
          <w:ilvl w:val="0"/>
          <w:numId w:val="16"/>
        </w:numPr>
        <w:autoSpaceDE w:val="0"/>
        <w:autoSpaceDN w:val="0"/>
        <w:adjustRightInd w:val="0"/>
        <w:ind w:left="1800"/>
        <w:rPr>
          <w:b/>
          <w:szCs w:val="24"/>
        </w:rPr>
      </w:pPr>
      <w:r w:rsidRPr="0043191B">
        <w:rPr>
          <w:b/>
          <w:szCs w:val="24"/>
        </w:rPr>
        <w:t>TIME CONSTRAINTS: You have 15 days to complete Step 1 through 3.  Any delays will be explained in a letter of lateness written by the person responsible for the delay.</w:t>
      </w:r>
    </w:p>
    <w:p w14:paraId="773B62A9" w14:textId="77777777" w:rsidR="00BD4FAB" w:rsidRPr="0043191B" w:rsidRDefault="00BD4FAB" w:rsidP="005B7138">
      <w:pPr>
        <w:autoSpaceDE w:val="0"/>
        <w:autoSpaceDN w:val="0"/>
        <w:adjustRightInd w:val="0"/>
        <w:ind w:left="1800"/>
        <w:rPr>
          <w:szCs w:val="24"/>
        </w:rPr>
      </w:pPr>
    </w:p>
    <w:p w14:paraId="773B62AA" w14:textId="77777777" w:rsidR="00BD4FAB" w:rsidRPr="0043191B" w:rsidRDefault="00BD4FAB" w:rsidP="00BA727A">
      <w:pPr>
        <w:pStyle w:val="ListParagraph"/>
        <w:numPr>
          <w:ilvl w:val="0"/>
          <w:numId w:val="11"/>
        </w:numPr>
        <w:autoSpaceDE w:val="0"/>
        <w:autoSpaceDN w:val="0"/>
        <w:adjustRightInd w:val="0"/>
        <w:rPr>
          <w:szCs w:val="24"/>
        </w:rPr>
      </w:pPr>
      <w:r w:rsidRPr="0043191B">
        <w:rPr>
          <w:b/>
          <w:bCs/>
          <w:szCs w:val="24"/>
        </w:rPr>
        <w:t xml:space="preserve">Step 4.  </w:t>
      </w:r>
      <w:r w:rsidR="00CF5537" w:rsidRPr="0043191B">
        <w:rPr>
          <w:bCs/>
          <w:szCs w:val="24"/>
        </w:rPr>
        <w:t xml:space="preserve">The PBO will sign block 17e of the DD Form 200 and complete the remainder of section 17.  The PBO will assign a document number to the DD Form 200 in block 17a if the property book is affected.  The PBO will then retain one copy of the DD Form 200, post it to the accountable records, forward all remaining copies to the Approving Authority and furnish the document number to the corresponding LDP Chief (Figure 10.2) </w:t>
      </w:r>
      <w:r w:rsidRPr="0043191B">
        <w:rPr>
          <w:szCs w:val="24"/>
        </w:rPr>
        <w:t xml:space="preserve"> </w:t>
      </w:r>
    </w:p>
    <w:p w14:paraId="773B62AB" w14:textId="77777777" w:rsidR="00BD4FAB" w:rsidRPr="0043191B" w:rsidRDefault="00BD4FAB" w:rsidP="00BD4FAB">
      <w:pPr>
        <w:pStyle w:val="ListParagraph"/>
        <w:ind w:left="75"/>
        <w:rPr>
          <w:szCs w:val="24"/>
        </w:rPr>
      </w:pPr>
    </w:p>
    <w:p w14:paraId="773B62AC" w14:textId="77777777" w:rsidR="00BD4FAB" w:rsidRPr="0043191B" w:rsidRDefault="00BD4FAB" w:rsidP="00BD4FAB">
      <w:pPr>
        <w:autoSpaceDE w:val="0"/>
        <w:autoSpaceDN w:val="0"/>
        <w:adjustRightInd w:val="0"/>
        <w:rPr>
          <w:b/>
          <w:bCs/>
          <w:szCs w:val="24"/>
        </w:rPr>
      </w:pPr>
    </w:p>
    <w:p w14:paraId="773B62AD" w14:textId="1F0E1A5B" w:rsidR="00BD4FAB" w:rsidRPr="0043191B" w:rsidRDefault="00BD4FAB" w:rsidP="001A798E">
      <w:pPr>
        <w:pStyle w:val="ListParagraph"/>
        <w:numPr>
          <w:ilvl w:val="0"/>
          <w:numId w:val="21"/>
        </w:numPr>
        <w:rPr>
          <w:szCs w:val="24"/>
        </w:rPr>
      </w:pPr>
      <w:r w:rsidRPr="0043191B">
        <w:rPr>
          <w:b/>
          <w:bCs/>
          <w:szCs w:val="24"/>
        </w:rPr>
        <w:t>Step 5. Approving authority</w:t>
      </w:r>
      <w:r w:rsidR="00C40F55" w:rsidRPr="0043191B">
        <w:rPr>
          <w:b/>
          <w:bCs/>
          <w:szCs w:val="24"/>
        </w:rPr>
        <w:t>/appointing authority</w:t>
      </w:r>
      <w:r w:rsidRPr="0043191B">
        <w:rPr>
          <w:b/>
          <w:bCs/>
          <w:szCs w:val="24"/>
        </w:rPr>
        <w:t xml:space="preserve"> will:</w:t>
      </w:r>
    </w:p>
    <w:p w14:paraId="40C6A09B" w14:textId="77777777" w:rsidR="001A798E" w:rsidRPr="0043191B" w:rsidRDefault="001A798E" w:rsidP="001A798E">
      <w:pPr>
        <w:pStyle w:val="ListParagraph"/>
        <w:ind w:left="1080"/>
        <w:rPr>
          <w:szCs w:val="24"/>
        </w:rPr>
      </w:pPr>
    </w:p>
    <w:p w14:paraId="773B62AE" w14:textId="77777777" w:rsidR="00BD4FAB" w:rsidRPr="0043191B" w:rsidRDefault="00BD4FAB" w:rsidP="00BD4FAB">
      <w:pPr>
        <w:pStyle w:val="ListParagraph"/>
        <w:numPr>
          <w:ilvl w:val="2"/>
          <w:numId w:val="3"/>
        </w:numPr>
        <w:rPr>
          <w:szCs w:val="24"/>
        </w:rPr>
      </w:pPr>
      <w:r w:rsidRPr="0043191B">
        <w:rPr>
          <w:szCs w:val="24"/>
        </w:rPr>
        <w:t>Review the FLIPL</w:t>
      </w:r>
    </w:p>
    <w:p w14:paraId="773B62AF" w14:textId="55101D92" w:rsidR="00BD4FAB" w:rsidRPr="0043191B" w:rsidRDefault="00A6058E" w:rsidP="00BD4FAB">
      <w:pPr>
        <w:pStyle w:val="ListParagraph"/>
        <w:numPr>
          <w:ilvl w:val="2"/>
          <w:numId w:val="3"/>
        </w:numPr>
        <w:rPr>
          <w:szCs w:val="24"/>
        </w:rPr>
      </w:pPr>
      <w:r w:rsidRPr="0043191B">
        <w:rPr>
          <w:noProof/>
          <w:szCs w:val="24"/>
        </w:rPr>
        <mc:AlternateContent>
          <mc:Choice Requires="wps">
            <w:drawing>
              <wp:anchor distT="0" distB="0" distL="114300" distR="114300" simplePos="0" relativeHeight="251662336" behindDoc="0" locked="0" layoutInCell="1" allowOverlap="1" wp14:anchorId="773B632A" wp14:editId="014BD3FC">
                <wp:simplePos x="0" y="0"/>
                <wp:positionH relativeFrom="column">
                  <wp:posOffset>30480</wp:posOffset>
                </wp:positionH>
                <wp:positionV relativeFrom="paragraph">
                  <wp:posOffset>128270</wp:posOffset>
                </wp:positionV>
                <wp:extent cx="1029970" cy="427355"/>
                <wp:effectExtent l="11430" t="8255" r="273050"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970" cy="427355"/>
                        </a:xfrm>
                        <a:prstGeom prst="borderCallout1">
                          <a:avLst>
                            <a:gd name="adj1" fmla="val 26745"/>
                            <a:gd name="adj2" fmla="val 107398"/>
                            <a:gd name="adj3" fmla="val 70727"/>
                            <a:gd name="adj4" fmla="val 125769"/>
                          </a:avLst>
                        </a:prstGeom>
                        <a:solidFill>
                          <a:schemeClr val="accent1">
                            <a:lumMod val="40000"/>
                            <a:lumOff val="60000"/>
                          </a:schemeClr>
                        </a:solidFill>
                        <a:ln w="9525">
                          <a:solidFill>
                            <a:schemeClr val="tx1">
                              <a:lumMod val="100000"/>
                              <a:lumOff val="0"/>
                            </a:schemeClr>
                          </a:solidFill>
                          <a:miter lim="800000"/>
                          <a:headEnd/>
                          <a:tailEnd/>
                        </a:ln>
                      </wps:spPr>
                      <wps:txbx>
                        <w:txbxContent>
                          <w:p w14:paraId="773B6344" w14:textId="77777777" w:rsidR="00BD4FAB" w:rsidRPr="009A6AE5" w:rsidRDefault="00BD4FAB" w:rsidP="00BD4FAB">
                            <w:pPr>
                              <w:pStyle w:val="NormalWeb"/>
                              <w:spacing w:before="0" w:beforeAutospacing="0" w:after="0" w:afterAutospacing="0"/>
                              <w:jc w:val="center"/>
                              <w:textAlignment w:val="baseline"/>
                              <w:rPr>
                                <w:sz w:val="20"/>
                              </w:rPr>
                            </w:pPr>
                            <w:r w:rsidRPr="009A6AE5">
                              <w:rPr>
                                <w:rFonts w:cstheme="minorBidi"/>
                                <w:color w:val="000000" w:themeColor="text1"/>
                                <w:kern w:val="24"/>
                                <w:szCs w:val="32"/>
                              </w:rPr>
                              <w:t>Short Investigation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3B632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8" o:spid="_x0000_s1026" type="#_x0000_t47" style="position:absolute;left:0;text-align:left;margin-left:2.4pt;margin-top:10.1pt;width:81.1pt;height: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" adj="27166,15277,23198,5777" fillcolor="#b8cce4 [1300]" strokecolor="black [3213]">
                <v:textbox>
                  <w:txbxContent>
                    <w:p w14:paraId="773B6344" w14:textId="77777777" w:rsidR="00BD4FAB" w:rsidRPr="009A6AE5" w:rsidRDefault="00BD4FAB" w:rsidP="00BD4FAB">
                      <w:pPr>
                        <w:pStyle w:val="NormalWeb"/>
                        <w:spacing w:before="0" w:beforeAutospacing="0" w:after="0" w:afterAutospacing="0"/>
                        <w:jc w:val="center"/>
                        <w:textAlignment w:val="baseline"/>
                        <w:rPr>
                          <w:sz w:val="20"/>
                        </w:rPr>
                      </w:pPr>
                      <w:r w:rsidRPr="009A6AE5">
                        <w:rPr>
                          <w:rFonts w:cstheme="minorBidi"/>
                          <w:color w:val="000000" w:themeColor="text1"/>
                          <w:kern w:val="24"/>
                          <w:szCs w:val="32"/>
                        </w:rPr>
                        <w:t>Short Investigation</w:t>
                      </w:r>
                    </w:p>
                  </w:txbxContent>
                </v:textbox>
                <o:callout v:ext="edit" minusx="t" minusy="t"/>
              </v:shape>
            </w:pict>
          </mc:Fallback>
        </mc:AlternateContent>
      </w:r>
      <w:r w:rsidR="00BD4FAB" w:rsidRPr="0043191B">
        <w:rPr>
          <w:szCs w:val="24"/>
        </w:rPr>
        <w:t>Decide on a course of action</w:t>
      </w:r>
    </w:p>
    <w:p w14:paraId="773B62B0" w14:textId="163EF3AB" w:rsidR="00BD4FAB" w:rsidRPr="0043191B" w:rsidRDefault="00A6058E" w:rsidP="00BD4FAB">
      <w:pPr>
        <w:pStyle w:val="ListParagraph"/>
        <w:numPr>
          <w:ilvl w:val="3"/>
          <w:numId w:val="3"/>
        </w:numPr>
        <w:rPr>
          <w:szCs w:val="24"/>
        </w:rPr>
      </w:pPr>
      <w:r w:rsidRPr="0043191B">
        <w:rPr>
          <w:noProof/>
          <w:szCs w:val="24"/>
        </w:rPr>
        <mc:AlternateContent>
          <mc:Choice Requires="wps">
            <w:drawing>
              <wp:anchor distT="0" distB="0" distL="114300" distR="114300" simplePos="0" relativeHeight="251660288" behindDoc="0" locked="0" layoutInCell="1" allowOverlap="1" wp14:anchorId="773B632B" wp14:editId="7D71EA85">
                <wp:simplePos x="0" y="0"/>
                <wp:positionH relativeFrom="column">
                  <wp:posOffset>1333500</wp:posOffset>
                </wp:positionH>
                <wp:positionV relativeFrom="paragraph">
                  <wp:posOffset>99060</wp:posOffset>
                </wp:positionV>
                <wp:extent cx="99060" cy="297180"/>
                <wp:effectExtent l="0" t="0" r="15240" b="26670"/>
                <wp:wrapNone/>
                <wp:docPr id="2048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297180"/>
                        </a:xfrm>
                        <a:prstGeom prst="leftBrace">
                          <a:avLst>
                            <a:gd name="adj1" fmla="val 29167"/>
                            <a:gd name="adj2" fmla="val 50000"/>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type w14:anchorId="73FDCD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105pt;margin-top:7.8pt;width:7.8pt;height:23.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" adj="2100" fillcolor="#4f81bd [3204]" strokecolor="black [3213]">
                <v:shadow color="#eeece1 [3214]"/>
              </v:shape>
            </w:pict>
          </mc:Fallback>
        </mc:AlternateContent>
      </w:r>
      <w:r w:rsidR="00BD4FAB" w:rsidRPr="0043191B">
        <w:rPr>
          <w:szCs w:val="24"/>
        </w:rPr>
        <w:t>(1) relief from responsibility</w:t>
      </w:r>
    </w:p>
    <w:p w14:paraId="773B62B1" w14:textId="77777777" w:rsidR="00BD4FAB" w:rsidRPr="0043191B" w:rsidRDefault="00BD4FAB" w:rsidP="00BD4FAB">
      <w:pPr>
        <w:pStyle w:val="ListParagraph"/>
        <w:numPr>
          <w:ilvl w:val="3"/>
          <w:numId w:val="3"/>
        </w:numPr>
        <w:rPr>
          <w:szCs w:val="24"/>
        </w:rPr>
      </w:pPr>
      <w:r w:rsidRPr="0043191B">
        <w:rPr>
          <w:szCs w:val="24"/>
        </w:rPr>
        <w:t>(2) assessment of financial liability</w:t>
      </w:r>
    </w:p>
    <w:p w14:paraId="773B62B2" w14:textId="0D648EE3" w:rsidR="00BD4FAB" w:rsidRPr="0043191B" w:rsidRDefault="00A6058E" w:rsidP="00BD4FAB">
      <w:pPr>
        <w:pStyle w:val="ListParagraph"/>
        <w:numPr>
          <w:ilvl w:val="3"/>
          <w:numId w:val="3"/>
        </w:numPr>
        <w:rPr>
          <w:szCs w:val="24"/>
        </w:rPr>
      </w:pPr>
      <w:r w:rsidRPr="0043191B">
        <w:rPr>
          <w:noProof/>
          <w:szCs w:val="24"/>
        </w:rPr>
        <mc:AlternateContent>
          <mc:Choice Requires="wps">
            <w:drawing>
              <wp:anchor distT="0" distB="0" distL="114300" distR="114300" simplePos="0" relativeHeight="251663360" behindDoc="0" locked="0" layoutInCell="1" allowOverlap="1" wp14:anchorId="773B632C" wp14:editId="20BCFDE2">
                <wp:simplePos x="0" y="0"/>
                <wp:positionH relativeFrom="column">
                  <wp:posOffset>22860</wp:posOffset>
                </wp:positionH>
                <wp:positionV relativeFrom="paragraph">
                  <wp:posOffset>76200</wp:posOffset>
                </wp:positionV>
                <wp:extent cx="1021080" cy="518160"/>
                <wp:effectExtent l="0" t="0" r="312420" b="15240"/>
                <wp:wrapNone/>
                <wp:docPr id="2048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1080" cy="518160"/>
                        </a:xfrm>
                        <a:prstGeom prst="borderCallout1">
                          <a:avLst>
                            <a:gd name="adj1" fmla="val 18750"/>
                            <a:gd name="adj2" fmla="val 105884"/>
                            <a:gd name="adj3" fmla="val 25014"/>
                            <a:gd name="adj4" fmla="val 127670"/>
                          </a:avLst>
                        </a:prstGeom>
                        <a:solidFill>
                          <a:schemeClr val="accent1">
                            <a:lumMod val="40000"/>
                            <a:lumOff val="60000"/>
                          </a:schemeClr>
                        </a:solidFill>
                        <a:ln w="9525">
                          <a:solidFill>
                            <a:schemeClr val="tx1"/>
                          </a:solidFill>
                          <a:miter lim="800000"/>
                          <a:headEnd/>
                          <a:tailEnd/>
                        </a:ln>
                        <a:effectLst/>
                        <a:extLst/>
                      </wps:spPr>
                      <wps:txbx>
                        <w:txbxContent>
                          <w:p w14:paraId="773B6345" w14:textId="77777777" w:rsidR="00BD4FAB" w:rsidRPr="009A6AE5" w:rsidRDefault="00BD4FAB" w:rsidP="00BD4FAB">
                            <w:pPr>
                              <w:pStyle w:val="NormalWeb"/>
                              <w:spacing w:before="0" w:beforeAutospacing="0" w:after="0" w:afterAutospacing="0"/>
                              <w:jc w:val="center"/>
                              <w:textAlignment w:val="baseline"/>
                              <w:rPr>
                                <w:sz w:val="20"/>
                              </w:rPr>
                            </w:pPr>
                            <w:r w:rsidRPr="009A6AE5">
                              <w:rPr>
                                <w:rFonts w:cstheme="minorBidi"/>
                                <w:color w:val="000000" w:themeColor="text1"/>
                                <w:kern w:val="24"/>
                                <w:szCs w:val="32"/>
                              </w:rPr>
                              <w:t>Long Investigation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73B632C" id="AutoShape 9" o:spid="_x0000_s1027" type="#_x0000_t47" style="position:absolute;left:0;text-align:left;margin-left:1.8pt;margin-top:6pt;width:80.4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" adj="27577,5403,22871" fillcolor="#b8cce4 [1300]" strokecolor="black [3213]">
                <v:textbox>
                  <w:txbxContent>
                    <w:p w14:paraId="773B6345" w14:textId="77777777" w:rsidR="00BD4FAB" w:rsidRPr="009A6AE5" w:rsidRDefault="00BD4FAB" w:rsidP="00BD4FAB">
                      <w:pPr>
                        <w:pStyle w:val="NormalWeb"/>
                        <w:spacing w:before="0" w:beforeAutospacing="0" w:after="0" w:afterAutospacing="0"/>
                        <w:jc w:val="center"/>
                        <w:textAlignment w:val="baseline"/>
                        <w:rPr>
                          <w:sz w:val="20"/>
                        </w:rPr>
                      </w:pPr>
                      <w:r w:rsidRPr="009A6AE5">
                        <w:rPr>
                          <w:rFonts w:cstheme="minorBidi"/>
                          <w:color w:val="000000" w:themeColor="text1"/>
                          <w:kern w:val="24"/>
                          <w:szCs w:val="32"/>
                        </w:rPr>
                        <w:t>Long Investigation</w:t>
                      </w:r>
                    </w:p>
                  </w:txbxContent>
                </v:textbox>
                <o:callout v:ext="edit" minusx="t" minusy="t"/>
              </v:shape>
            </w:pict>
          </mc:Fallback>
        </mc:AlternateContent>
      </w:r>
      <w:r w:rsidRPr="0043191B">
        <w:rPr>
          <w:noProof/>
          <w:szCs w:val="24"/>
        </w:rPr>
        <mc:AlternateContent>
          <mc:Choice Requires="wps">
            <w:drawing>
              <wp:anchor distT="0" distB="0" distL="114300" distR="114300" simplePos="0" relativeHeight="251661312" behindDoc="0" locked="0" layoutInCell="1" allowOverlap="1" wp14:anchorId="773B632D" wp14:editId="2FB4532F">
                <wp:simplePos x="0" y="0"/>
                <wp:positionH relativeFrom="column">
                  <wp:posOffset>1333500</wp:posOffset>
                </wp:positionH>
                <wp:positionV relativeFrom="paragraph">
                  <wp:posOffset>76200</wp:posOffset>
                </wp:positionV>
                <wp:extent cx="99060" cy="259080"/>
                <wp:effectExtent l="0" t="0" r="15240" b="26670"/>
                <wp:wrapNone/>
                <wp:docPr id="2048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259080"/>
                        </a:xfrm>
                        <a:prstGeom prst="leftBrace">
                          <a:avLst>
                            <a:gd name="adj1" fmla="val 33333"/>
                            <a:gd name="adj2" fmla="val 50000"/>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20421561" id="AutoShape 7" o:spid="_x0000_s1026" type="#_x0000_t87" style="position:absolute;margin-left:105pt;margin-top:6pt;width:7.8pt;height:2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" adj="2753" fillcolor="#4f81bd [3204]" strokecolor="black [3213]">
                <v:shadow color="#eeece1 [3214]"/>
              </v:shape>
            </w:pict>
          </mc:Fallback>
        </mc:AlternateContent>
      </w:r>
      <w:r w:rsidR="00BD4FAB" w:rsidRPr="0043191B">
        <w:rPr>
          <w:szCs w:val="24"/>
        </w:rPr>
        <w:t>(3) appoint an investigation officer using an informal memorandum  (Figure 10.5)</w:t>
      </w:r>
    </w:p>
    <w:p w14:paraId="773B62B3" w14:textId="77777777" w:rsidR="00BD4FAB" w:rsidRPr="0043191B" w:rsidRDefault="00BD4FAB" w:rsidP="00BD4FAB">
      <w:pPr>
        <w:pStyle w:val="ListParagraph"/>
        <w:numPr>
          <w:ilvl w:val="3"/>
          <w:numId w:val="3"/>
        </w:numPr>
        <w:rPr>
          <w:szCs w:val="24"/>
        </w:rPr>
      </w:pPr>
      <w:r w:rsidRPr="0043191B">
        <w:rPr>
          <w:szCs w:val="24"/>
        </w:rPr>
        <w:t>(4) appoint an AR 15-6 investigation if warranted</w:t>
      </w:r>
    </w:p>
    <w:p w14:paraId="773B62B5" w14:textId="77777777" w:rsidR="00BD4FAB" w:rsidRPr="0043191B" w:rsidRDefault="00BD4FAB" w:rsidP="00BD4FAB">
      <w:pPr>
        <w:rPr>
          <w:szCs w:val="24"/>
        </w:rPr>
      </w:pPr>
    </w:p>
    <w:p w14:paraId="773B62B6" w14:textId="77777777" w:rsidR="00BD4FAB" w:rsidRPr="0043191B" w:rsidRDefault="00BD4FAB" w:rsidP="00BA727A">
      <w:pPr>
        <w:pStyle w:val="ListParagraph"/>
        <w:numPr>
          <w:ilvl w:val="0"/>
          <w:numId w:val="15"/>
        </w:numPr>
        <w:rPr>
          <w:b/>
          <w:szCs w:val="24"/>
        </w:rPr>
      </w:pPr>
      <w:r w:rsidRPr="0043191B">
        <w:rPr>
          <w:b/>
          <w:szCs w:val="24"/>
        </w:rPr>
        <w:t>TIME CONSTRAINTS: You have 30 days to complete Step 5.  Any delays will be explained in a letter of lateness written by the person responsible for the delay.</w:t>
      </w:r>
    </w:p>
    <w:p w14:paraId="773B62B7" w14:textId="77777777" w:rsidR="00BD4FAB" w:rsidRPr="0043191B" w:rsidRDefault="00BD4FAB" w:rsidP="001A798E">
      <w:pPr>
        <w:ind w:left="360"/>
        <w:rPr>
          <w:szCs w:val="24"/>
        </w:rPr>
      </w:pPr>
    </w:p>
    <w:p w14:paraId="773B62B8" w14:textId="0E8078C9" w:rsidR="00BD4FAB" w:rsidRPr="0043191B" w:rsidRDefault="00BD4FAB" w:rsidP="001A798E">
      <w:pPr>
        <w:pStyle w:val="ListParagraph"/>
        <w:numPr>
          <w:ilvl w:val="0"/>
          <w:numId w:val="20"/>
        </w:numPr>
        <w:ind w:left="1080"/>
        <w:rPr>
          <w:szCs w:val="24"/>
        </w:rPr>
      </w:pPr>
      <w:r w:rsidRPr="0043191B">
        <w:rPr>
          <w:szCs w:val="24"/>
        </w:rPr>
        <w:t xml:space="preserve">Step 6.  If Investigation Officer </w:t>
      </w:r>
      <w:r w:rsidR="009D6459" w:rsidRPr="0043191B">
        <w:rPr>
          <w:szCs w:val="24"/>
        </w:rPr>
        <w:t>is appointed</w:t>
      </w:r>
      <w:r w:rsidRPr="0043191B">
        <w:rPr>
          <w:szCs w:val="24"/>
        </w:rPr>
        <w:t xml:space="preserve"> upon completion of their </w:t>
      </w:r>
      <w:r w:rsidR="009D6459" w:rsidRPr="0043191B">
        <w:rPr>
          <w:szCs w:val="24"/>
        </w:rPr>
        <w:t>investigation,</w:t>
      </w:r>
      <w:r w:rsidRPr="0043191B">
        <w:rPr>
          <w:szCs w:val="24"/>
        </w:rPr>
        <w:t xml:space="preserve"> the FLIPL will be returned to the Approving Authority for review</w:t>
      </w:r>
      <w:r w:rsidR="009D6459" w:rsidRPr="0043191B">
        <w:rPr>
          <w:szCs w:val="24"/>
        </w:rPr>
        <w:t>.</w:t>
      </w:r>
      <w:r w:rsidRPr="0043191B">
        <w:rPr>
          <w:szCs w:val="24"/>
        </w:rPr>
        <w:t xml:space="preserve"> </w:t>
      </w:r>
      <w:r w:rsidR="009D6459" w:rsidRPr="0043191B">
        <w:rPr>
          <w:szCs w:val="24"/>
        </w:rPr>
        <w:t>If</w:t>
      </w:r>
      <w:r w:rsidRPr="0043191B">
        <w:rPr>
          <w:szCs w:val="24"/>
        </w:rPr>
        <w:t xml:space="preserve"> financial liability is </w:t>
      </w:r>
      <w:r w:rsidR="009D6459" w:rsidRPr="0043191B">
        <w:rPr>
          <w:szCs w:val="24"/>
        </w:rPr>
        <w:t>sought</w:t>
      </w:r>
      <w:r w:rsidR="00BA727A" w:rsidRPr="0043191B">
        <w:rPr>
          <w:szCs w:val="24"/>
        </w:rPr>
        <w:t>, JAG</w:t>
      </w:r>
      <w:r w:rsidRPr="0043191B">
        <w:rPr>
          <w:szCs w:val="24"/>
        </w:rPr>
        <w:t xml:space="preserve"> will review the approving/appointing authority’s decision.</w:t>
      </w:r>
    </w:p>
    <w:p w14:paraId="773B62B9" w14:textId="77777777" w:rsidR="00BD4FAB" w:rsidRPr="0043191B" w:rsidRDefault="00BD4FAB" w:rsidP="00BA727A">
      <w:pPr>
        <w:rPr>
          <w:szCs w:val="24"/>
        </w:rPr>
      </w:pPr>
    </w:p>
    <w:p w14:paraId="773B62BA" w14:textId="77777777" w:rsidR="00390880" w:rsidRPr="0043191B" w:rsidRDefault="00BD4FAB" w:rsidP="001A798E">
      <w:pPr>
        <w:pStyle w:val="ListParagraph"/>
        <w:numPr>
          <w:ilvl w:val="0"/>
          <w:numId w:val="17"/>
        </w:numPr>
        <w:ind w:left="1440"/>
        <w:rPr>
          <w:b/>
          <w:szCs w:val="24"/>
        </w:rPr>
      </w:pPr>
      <w:r w:rsidRPr="0043191B">
        <w:rPr>
          <w:b/>
          <w:szCs w:val="24"/>
        </w:rPr>
        <w:t>TIME CONSTRAINTS: You have 20 days to complete Step 6</w:t>
      </w:r>
      <w:r w:rsidR="0030678E" w:rsidRPr="0043191B">
        <w:rPr>
          <w:b/>
          <w:szCs w:val="24"/>
        </w:rPr>
        <w:t xml:space="preserve"> </w:t>
      </w:r>
      <w:r w:rsidRPr="0043191B">
        <w:rPr>
          <w:b/>
          <w:szCs w:val="24"/>
        </w:rPr>
        <w:t>.  Any delays will be explained in a letter of lateness written by the person responsible for the delay.</w:t>
      </w:r>
      <w:r w:rsidR="00390880" w:rsidRPr="0043191B">
        <w:rPr>
          <w:b/>
          <w:szCs w:val="24"/>
        </w:rPr>
        <w:t xml:space="preserve"> </w:t>
      </w:r>
    </w:p>
    <w:p w14:paraId="773B62BB" w14:textId="77777777" w:rsidR="00BD4FAB" w:rsidRPr="0043191B" w:rsidRDefault="00390880" w:rsidP="001A798E">
      <w:pPr>
        <w:pStyle w:val="ListParagraph"/>
        <w:numPr>
          <w:ilvl w:val="0"/>
          <w:numId w:val="17"/>
        </w:numPr>
        <w:ind w:left="1440"/>
        <w:rPr>
          <w:b/>
          <w:szCs w:val="24"/>
        </w:rPr>
      </w:pPr>
      <w:r w:rsidRPr="0043191B">
        <w:rPr>
          <w:b/>
          <w:szCs w:val="24"/>
        </w:rPr>
        <w:t>Note: Time used to notify the respondent of the investigating officer’s recommendation to assess financial liability is not counted against the time constraints.</w:t>
      </w:r>
    </w:p>
    <w:p w14:paraId="773B62BC" w14:textId="77777777" w:rsidR="00BD4FAB" w:rsidRPr="0043191B" w:rsidRDefault="00BD4FAB" w:rsidP="001A798E">
      <w:pPr>
        <w:ind w:left="720"/>
        <w:rPr>
          <w:szCs w:val="24"/>
        </w:rPr>
      </w:pPr>
    </w:p>
    <w:p w14:paraId="773B62BD" w14:textId="43733821" w:rsidR="00BD4FAB" w:rsidRPr="0043191B" w:rsidRDefault="00BD4FAB" w:rsidP="001A798E">
      <w:pPr>
        <w:pStyle w:val="ListParagraph"/>
        <w:numPr>
          <w:ilvl w:val="0"/>
          <w:numId w:val="18"/>
        </w:numPr>
        <w:ind w:left="1080"/>
        <w:rPr>
          <w:szCs w:val="24"/>
        </w:rPr>
      </w:pPr>
      <w:r w:rsidRPr="0043191B">
        <w:rPr>
          <w:b/>
          <w:szCs w:val="24"/>
        </w:rPr>
        <w:t>Step 7.</w:t>
      </w:r>
      <w:r w:rsidRPr="0043191B">
        <w:rPr>
          <w:szCs w:val="24"/>
        </w:rPr>
        <w:t xml:space="preserve">  If an individual(s) is being </w:t>
      </w:r>
      <w:r w:rsidR="009D6459" w:rsidRPr="0043191B">
        <w:rPr>
          <w:szCs w:val="24"/>
        </w:rPr>
        <w:t>charged, then</w:t>
      </w:r>
      <w:r w:rsidRPr="0043191B">
        <w:rPr>
          <w:szCs w:val="24"/>
        </w:rPr>
        <w:t xml:space="preserve"> the IO will notify them in writing after the findings and recommendations have been recorded on </w:t>
      </w:r>
      <w:r w:rsidR="009D6459" w:rsidRPr="0043191B">
        <w:rPr>
          <w:szCs w:val="24"/>
        </w:rPr>
        <w:t>DD Form 200</w:t>
      </w:r>
      <w:r w:rsidRPr="0043191B">
        <w:rPr>
          <w:szCs w:val="24"/>
        </w:rPr>
        <w:t xml:space="preserve">. (AR735-5, </w:t>
      </w:r>
      <w:r w:rsidR="009D6459" w:rsidRPr="0043191B">
        <w:rPr>
          <w:szCs w:val="24"/>
        </w:rPr>
        <w:t>Figure</w:t>
      </w:r>
      <w:r w:rsidRPr="0043191B">
        <w:rPr>
          <w:szCs w:val="24"/>
        </w:rPr>
        <w:t xml:space="preserve"> 13-14)</w:t>
      </w:r>
    </w:p>
    <w:p w14:paraId="773B62BE" w14:textId="77777777" w:rsidR="00BD4FAB" w:rsidRPr="0043191B" w:rsidRDefault="00BD4FAB" w:rsidP="001A798E">
      <w:pPr>
        <w:autoSpaceDE w:val="0"/>
        <w:autoSpaceDN w:val="0"/>
        <w:adjustRightInd w:val="0"/>
        <w:ind w:left="360"/>
        <w:rPr>
          <w:b/>
          <w:szCs w:val="24"/>
        </w:rPr>
      </w:pPr>
    </w:p>
    <w:p w14:paraId="773B62BF" w14:textId="0C4FBC68" w:rsidR="00BD4FAB" w:rsidRPr="0043191B" w:rsidRDefault="0043191B" w:rsidP="0043191B">
      <w:pPr>
        <w:pStyle w:val="ListParagraph"/>
        <w:numPr>
          <w:ilvl w:val="0"/>
          <w:numId w:val="23"/>
        </w:numPr>
        <w:autoSpaceDE w:val="0"/>
        <w:autoSpaceDN w:val="0"/>
        <w:adjustRightInd w:val="0"/>
        <w:rPr>
          <w:b/>
          <w:szCs w:val="24"/>
        </w:rPr>
      </w:pPr>
      <w:r w:rsidRPr="0043191B">
        <w:rPr>
          <w:b/>
          <w:szCs w:val="24"/>
        </w:rPr>
        <w:t xml:space="preserve">Step 8. Time Constraints </w:t>
      </w:r>
      <w:r w:rsidR="00BD4FAB" w:rsidRPr="0043191B">
        <w:rPr>
          <w:b/>
          <w:szCs w:val="24"/>
        </w:rPr>
        <w:t xml:space="preserve">(AR735-5, para. 13-35) Rebuttal Statement: </w:t>
      </w:r>
    </w:p>
    <w:p w14:paraId="773B62C0" w14:textId="77777777" w:rsidR="00BD4FAB" w:rsidRPr="0043191B" w:rsidRDefault="00BD4FAB" w:rsidP="00BD4FAB">
      <w:pPr>
        <w:autoSpaceDE w:val="0"/>
        <w:autoSpaceDN w:val="0"/>
        <w:adjustRightInd w:val="0"/>
        <w:rPr>
          <w:b/>
          <w:szCs w:val="24"/>
        </w:rPr>
      </w:pPr>
    </w:p>
    <w:p w14:paraId="773B62C1" w14:textId="77777777" w:rsidR="00BD4FAB" w:rsidRPr="0043191B" w:rsidRDefault="00BD4FAB" w:rsidP="0043191B">
      <w:pPr>
        <w:pStyle w:val="ListParagraph"/>
        <w:numPr>
          <w:ilvl w:val="0"/>
          <w:numId w:val="22"/>
        </w:numPr>
        <w:autoSpaceDE w:val="0"/>
        <w:autoSpaceDN w:val="0"/>
        <w:adjustRightInd w:val="0"/>
        <w:ind w:left="1080"/>
        <w:rPr>
          <w:b/>
          <w:szCs w:val="24"/>
        </w:rPr>
      </w:pPr>
      <w:r w:rsidRPr="0043191B">
        <w:rPr>
          <w:szCs w:val="24"/>
        </w:rPr>
        <w:t>Individuals have the right to submit a rebuttal statement, or other added evidence, and to have that statement or evidence considered and attached to the financial liability investigation of property loss for consideration by higher authority.</w:t>
      </w:r>
    </w:p>
    <w:p w14:paraId="7A99F2F8" w14:textId="77777777" w:rsidR="0043191B" w:rsidRPr="0043191B" w:rsidRDefault="0043191B" w:rsidP="0043191B">
      <w:pPr>
        <w:pStyle w:val="ListParagraph"/>
        <w:autoSpaceDE w:val="0"/>
        <w:autoSpaceDN w:val="0"/>
        <w:adjustRightInd w:val="0"/>
        <w:ind w:left="1080"/>
        <w:rPr>
          <w:b/>
          <w:szCs w:val="24"/>
        </w:rPr>
      </w:pPr>
    </w:p>
    <w:p w14:paraId="773B62C2" w14:textId="77F36D5F" w:rsidR="00BD4FAB" w:rsidRDefault="00BD4FAB" w:rsidP="0043191B">
      <w:pPr>
        <w:pStyle w:val="ListParagraph"/>
        <w:numPr>
          <w:ilvl w:val="0"/>
          <w:numId w:val="22"/>
        </w:numPr>
        <w:autoSpaceDE w:val="0"/>
        <w:autoSpaceDN w:val="0"/>
        <w:adjustRightInd w:val="0"/>
        <w:ind w:left="1080"/>
        <w:rPr>
          <w:szCs w:val="24"/>
        </w:rPr>
      </w:pPr>
      <w:r w:rsidRPr="0043191B">
        <w:rPr>
          <w:szCs w:val="24"/>
        </w:rPr>
        <w:t xml:space="preserve">An individual who receives a hand delivered financial liability investigation of property loss packet </w:t>
      </w:r>
      <w:r w:rsidRPr="0043191B">
        <w:rPr>
          <w:b/>
          <w:szCs w:val="24"/>
        </w:rPr>
        <w:t xml:space="preserve">has 7 calendar days from the date of receipt to reply with a </w:t>
      </w:r>
      <w:r w:rsidRPr="0043191B">
        <w:rPr>
          <w:b/>
          <w:szCs w:val="24"/>
        </w:rPr>
        <w:lastRenderedPageBreak/>
        <w:t>rebuttal statement or other additional evidence.</w:t>
      </w:r>
      <w:r w:rsidRPr="0043191B">
        <w:rPr>
          <w:szCs w:val="24"/>
        </w:rPr>
        <w:t xml:space="preserve"> This time will not be included when computing the total processing time.</w:t>
      </w:r>
    </w:p>
    <w:p w14:paraId="67025A2F" w14:textId="77777777" w:rsidR="0043191B" w:rsidRPr="0043191B" w:rsidRDefault="0043191B" w:rsidP="0043191B">
      <w:pPr>
        <w:pStyle w:val="ListParagraph"/>
        <w:ind w:left="1080"/>
        <w:rPr>
          <w:szCs w:val="24"/>
        </w:rPr>
      </w:pPr>
    </w:p>
    <w:p w14:paraId="773B62C3" w14:textId="2108A9EF" w:rsidR="00BD4FAB" w:rsidRDefault="00BD4FAB" w:rsidP="0043191B">
      <w:pPr>
        <w:pStyle w:val="ListParagraph"/>
        <w:numPr>
          <w:ilvl w:val="0"/>
          <w:numId w:val="22"/>
        </w:numPr>
        <w:autoSpaceDE w:val="0"/>
        <w:autoSpaceDN w:val="0"/>
        <w:adjustRightInd w:val="0"/>
        <w:ind w:left="1080"/>
        <w:rPr>
          <w:szCs w:val="24"/>
        </w:rPr>
      </w:pPr>
      <w:r w:rsidRPr="0043191B">
        <w:rPr>
          <w:szCs w:val="24"/>
        </w:rPr>
        <w:t xml:space="preserve">Those individuals who are unavailable, but in the same country, have </w:t>
      </w:r>
      <w:r w:rsidRPr="0043191B">
        <w:rPr>
          <w:b/>
          <w:szCs w:val="24"/>
        </w:rPr>
        <w:t>15 calendar days from the date of mailing to submit a rebuttal.</w:t>
      </w:r>
      <w:r w:rsidRPr="0043191B">
        <w:rPr>
          <w:szCs w:val="24"/>
        </w:rPr>
        <w:t xml:space="preserve"> This time will not be included when computing the total processing time.</w:t>
      </w:r>
    </w:p>
    <w:p w14:paraId="40191FCB" w14:textId="77777777" w:rsidR="0043191B" w:rsidRPr="0043191B" w:rsidRDefault="0043191B" w:rsidP="0043191B">
      <w:pPr>
        <w:pStyle w:val="ListParagraph"/>
        <w:ind w:left="1080"/>
        <w:rPr>
          <w:szCs w:val="24"/>
        </w:rPr>
      </w:pPr>
    </w:p>
    <w:p w14:paraId="773B62C4" w14:textId="6626B0CA" w:rsidR="00BD4FAB" w:rsidRDefault="00BD4FAB" w:rsidP="0043191B">
      <w:pPr>
        <w:pStyle w:val="ListParagraph"/>
        <w:numPr>
          <w:ilvl w:val="0"/>
          <w:numId w:val="22"/>
        </w:numPr>
        <w:autoSpaceDE w:val="0"/>
        <w:autoSpaceDN w:val="0"/>
        <w:adjustRightInd w:val="0"/>
        <w:ind w:left="1080"/>
        <w:rPr>
          <w:szCs w:val="24"/>
        </w:rPr>
      </w:pPr>
      <w:r w:rsidRPr="0043191B">
        <w:rPr>
          <w:szCs w:val="24"/>
        </w:rPr>
        <w:t xml:space="preserve">Those individuals who are unavailable, and in a country different than the financial liability officer, have </w:t>
      </w:r>
      <w:r w:rsidRPr="0043191B">
        <w:rPr>
          <w:b/>
          <w:szCs w:val="24"/>
        </w:rPr>
        <w:t>30 calendar days from the date of mailing to submit a rebuttal</w:t>
      </w:r>
      <w:r w:rsidRPr="0043191B">
        <w:rPr>
          <w:szCs w:val="24"/>
        </w:rPr>
        <w:t>. This time will not be included when computing the total processing time.</w:t>
      </w:r>
    </w:p>
    <w:p w14:paraId="0B7B3D14" w14:textId="77777777" w:rsidR="0043191B" w:rsidRPr="0043191B" w:rsidRDefault="0043191B" w:rsidP="0043191B">
      <w:pPr>
        <w:pStyle w:val="ListParagraph"/>
        <w:ind w:left="1080"/>
        <w:rPr>
          <w:szCs w:val="24"/>
        </w:rPr>
      </w:pPr>
    </w:p>
    <w:p w14:paraId="773B62C5" w14:textId="5C01110D" w:rsidR="00BD4FAB" w:rsidRDefault="00BD4FAB" w:rsidP="0043191B">
      <w:pPr>
        <w:pStyle w:val="ListParagraph"/>
        <w:numPr>
          <w:ilvl w:val="0"/>
          <w:numId w:val="22"/>
        </w:numPr>
        <w:autoSpaceDE w:val="0"/>
        <w:autoSpaceDN w:val="0"/>
        <w:adjustRightInd w:val="0"/>
        <w:ind w:left="1080"/>
        <w:rPr>
          <w:szCs w:val="24"/>
        </w:rPr>
      </w:pPr>
      <w:r w:rsidRPr="0043191B">
        <w:rPr>
          <w:szCs w:val="24"/>
        </w:rPr>
        <w:t>Notification to unavailable individuals will be made by certified mail, return receipt requested. Copies of the notification memorandum will be attached to the financial liability investigation of property loss as an exhibit together with the evidence of mailing and return receipt.</w:t>
      </w:r>
    </w:p>
    <w:p w14:paraId="1D80CB45" w14:textId="77777777" w:rsidR="0043191B" w:rsidRPr="0043191B" w:rsidRDefault="0043191B" w:rsidP="0043191B">
      <w:pPr>
        <w:pStyle w:val="ListParagraph"/>
        <w:ind w:left="1080"/>
        <w:rPr>
          <w:szCs w:val="24"/>
        </w:rPr>
      </w:pPr>
    </w:p>
    <w:p w14:paraId="773B62C6" w14:textId="6FC27603" w:rsidR="00BD4FAB" w:rsidRDefault="00BD4FAB" w:rsidP="0043191B">
      <w:pPr>
        <w:pStyle w:val="ListParagraph"/>
        <w:numPr>
          <w:ilvl w:val="0"/>
          <w:numId w:val="22"/>
        </w:numPr>
        <w:autoSpaceDE w:val="0"/>
        <w:autoSpaceDN w:val="0"/>
        <w:adjustRightInd w:val="0"/>
        <w:ind w:left="1080"/>
        <w:rPr>
          <w:szCs w:val="24"/>
        </w:rPr>
      </w:pPr>
      <w:r w:rsidRPr="0043191B">
        <w:rPr>
          <w:szCs w:val="24"/>
        </w:rPr>
        <w:t xml:space="preserve">When the financial liability officer receives a </w:t>
      </w:r>
      <w:r w:rsidRPr="0043191B">
        <w:rPr>
          <w:b/>
          <w:szCs w:val="24"/>
          <w:u w:val="single"/>
        </w:rPr>
        <w:t>rebuttal statement within the allotted time</w:t>
      </w:r>
      <w:r w:rsidRPr="0043191B">
        <w:rPr>
          <w:szCs w:val="24"/>
        </w:rPr>
        <w:t xml:space="preserve">, he or she will consider the financial liability investigation of property loss together with any new evidence or allegations of error presented by the respondent. After review, </w:t>
      </w:r>
      <w:r w:rsidR="009D6459" w:rsidRPr="0043191B">
        <w:rPr>
          <w:szCs w:val="24"/>
        </w:rPr>
        <w:t xml:space="preserve">the financial liability </w:t>
      </w:r>
      <w:r w:rsidR="00AF62B8" w:rsidRPr="0043191B">
        <w:rPr>
          <w:szCs w:val="24"/>
        </w:rPr>
        <w:t>officer attaches the rebuttal statement to the financial liability investigation of property loss, and makes</w:t>
      </w:r>
      <w:r w:rsidRPr="0043191B">
        <w:rPr>
          <w:szCs w:val="24"/>
        </w:rPr>
        <w:t xml:space="preserve"> a recommendation. </w:t>
      </w:r>
      <w:r w:rsidR="009D6459" w:rsidRPr="0043191B">
        <w:rPr>
          <w:szCs w:val="24"/>
        </w:rPr>
        <w:t xml:space="preserve">The financial liability officer will forward </w:t>
      </w:r>
      <w:r w:rsidRPr="0043191B">
        <w:rPr>
          <w:szCs w:val="24"/>
        </w:rPr>
        <w:t>the complete packet to the appointing authority or the approving authority as appropriate for action.</w:t>
      </w:r>
    </w:p>
    <w:p w14:paraId="11311946" w14:textId="77777777" w:rsidR="0043191B" w:rsidRPr="0043191B" w:rsidRDefault="0043191B" w:rsidP="0043191B">
      <w:pPr>
        <w:pStyle w:val="ListParagraph"/>
        <w:ind w:left="1080"/>
        <w:rPr>
          <w:szCs w:val="24"/>
        </w:rPr>
      </w:pPr>
    </w:p>
    <w:p w14:paraId="773B62C7" w14:textId="017071C1" w:rsidR="00BD4FAB" w:rsidRDefault="00BD4FAB" w:rsidP="0043191B">
      <w:pPr>
        <w:pStyle w:val="ListParagraph"/>
        <w:numPr>
          <w:ilvl w:val="0"/>
          <w:numId w:val="22"/>
        </w:numPr>
        <w:autoSpaceDE w:val="0"/>
        <w:autoSpaceDN w:val="0"/>
        <w:adjustRightInd w:val="0"/>
        <w:ind w:left="1080"/>
        <w:rPr>
          <w:b/>
          <w:szCs w:val="24"/>
          <w:u w:val="single"/>
        </w:rPr>
      </w:pPr>
      <w:r w:rsidRPr="0043191B">
        <w:rPr>
          <w:szCs w:val="24"/>
        </w:rPr>
        <w:t>When the financial liability officer does not receive a rebuttal statement within the allotted time</w:t>
      </w:r>
      <w:r w:rsidRPr="0043191B">
        <w:rPr>
          <w:b/>
          <w:szCs w:val="24"/>
          <w:u w:val="single"/>
        </w:rPr>
        <w:t xml:space="preserve">, </w:t>
      </w:r>
      <w:r w:rsidR="008A45A9" w:rsidRPr="0043191B">
        <w:rPr>
          <w:b/>
          <w:szCs w:val="24"/>
          <w:u w:val="single"/>
        </w:rPr>
        <w:t>he or she</w:t>
      </w:r>
      <w:r w:rsidRPr="0043191B">
        <w:rPr>
          <w:b/>
          <w:szCs w:val="24"/>
          <w:u w:val="single"/>
        </w:rPr>
        <w:t xml:space="preserve"> will forward the financial liability investigation of property loss showing the financial liability officer’s findings and recommendations to the appointing authority or the approving authority as appropriate.</w:t>
      </w:r>
    </w:p>
    <w:p w14:paraId="1F947F1F" w14:textId="77777777" w:rsidR="0043191B" w:rsidRPr="0043191B" w:rsidRDefault="0043191B" w:rsidP="0043191B">
      <w:pPr>
        <w:pStyle w:val="ListParagraph"/>
        <w:ind w:left="1080"/>
        <w:rPr>
          <w:b/>
          <w:szCs w:val="24"/>
          <w:u w:val="single"/>
        </w:rPr>
      </w:pPr>
    </w:p>
    <w:p w14:paraId="773B62C8" w14:textId="75A3F05F" w:rsidR="00BD4FAB" w:rsidRPr="0043191B" w:rsidRDefault="00BD4FAB" w:rsidP="0043191B">
      <w:pPr>
        <w:pStyle w:val="ListParagraph"/>
        <w:numPr>
          <w:ilvl w:val="0"/>
          <w:numId w:val="22"/>
        </w:numPr>
        <w:autoSpaceDE w:val="0"/>
        <w:autoSpaceDN w:val="0"/>
        <w:adjustRightInd w:val="0"/>
        <w:ind w:left="1080"/>
        <w:rPr>
          <w:szCs w:val="24"/>
        </w:rPr>
      </w:pPr>
      <w:r w:rsidRPr="0043191B">
        <w:rPr>
          <w:b/>
          <w:szCs w:val="24"/>
        </w:rPr>
        <w:t xml:space="preserve">When the financial liability officer receives a rebuttal statement </w:t>
      </w:r>
      <w:r w:rsidRPr="0043191B">
        <w:rPr>
          <w:b/>
          <w:szCs w:val="24"/>
          <w:u w:val="single"/>
        </w:rPr>
        <w:t>after</w:t>
      </w:r>
      <w:r w:rsidRPr="0043191B">
        <w:rPr>
          <w:b/>
          <w:szCs w:val="24"/>
        </w:rPr>
        <w:t xml:space="preserve"> the time allotted for a rebuttal has expired, he or she will consider any new evidence presented by the respondent. If appropriate, </w:t>
      </w:r>
      <w:r w:rsidR="00AE5BA6" w:rsidRPr="0043191B">
        <w:rPr>
          <w:b/>
          <w:szCs w:val="24"/>
          <w:u w:val="single"/>
        </w:rPr>
        <w:t>the financial liability officer will amend</w:t>
      </w:r>
      <w:r w:rsidRPr="0043191B">
        <w:rPr>
          <w:b/>
          <w:szCs w:val="24"/>
        </w:rPr>
        <w:t xml:space="preserve"> his or her recommendations and </w:t>
      </w:r>
      <w:r w:rsidRPr="0043191B">
        <w:rPr>
          <w:b/>
          <w:szCs w:val="24"/>
          <w:u w:val="single"/>
        </w:rPr>
        <w:t>forward the amended recommendation by memorandum through the same channels the financial liability investigation of property loss was processed</w:t>
      </w:r>
      <w:r w:rsidRPr="0043191B">
        <w:rPr>
          <w:szCs w:val="24"/>
        </w:rPr>
        <w:t>.</w:t>
      </w:r>
    </w:p>
    <w:p w14:paraId="773B62C9" w14:textId="77777777" w:rsidR="00BD4FAB" w:rsidRPr="0043191B" w:rsidRDefault="00BD4FAB" w:rsidP="0043191B">
      <w:pPr>
        <w:ind w:left="360"/>
        <w:rPr>
          <w:b/>
          <w:szCs w:val="24"/>
        </w:rPr>
      </w:pPr>
    </w:p>
    <w:p w14:paraId="773B62CA" w14:textId="4BD15C74" w:rsidR="00BD4FAB" w:rsidRPr="0043191B" w:rsidRDefault="0043191B" w:rsidP="0043191B">
      <w:pPr>
        <w:pStyle w:val="ListParagraph"/>
        <w:numPr>
          <w:ilvl w:val="0"/>
          <w:numId w:val="22"/>
        </w:numPr>
        <w:ind w:left="1080"/>
        <w:rPr>
          <w:b/>
          <w:szCs w:val="24"/>
        </w:rPr>
      </w:pPr>
      <w:r w:rsidRPr="0043191B">
        <w:rPr>
          <w:b/>
          <w:szCs w:val="24"/>
        </w:rPr>
        <w:t>Time Constraints</w:t>
      </w:r>
      <w:r w:rsidR="00BD4FAB" w:rsidRPr="0043191B">
        <w:rPr>
          <w:b/>
          <w:szCs w:val="24"/>
        </w:rPr>
        <w:t xml:space="preserve"> Request for reconsideration 30 days from notification (AR735-5, para 13-43):</w:t>
      </w:r>
      <w:r w:rsidR="001C1837" w:rsidRPr="0043191B">
        <w:rPr>
          <w:b/>
          <w:szCs w:val="24"/>
        </w:rPr>
        <w:t xml:space="preserve"> </w:t>
      </w:r>
      <w:r w:rsidR="00BD4FAB" w:rsidRPr="0043191B">
        <w:rPr>
          <w:szCs w:val="24"/>
        </w:rPr>
        <w:t xml:space="preserve">Request reconsideration of the approving authority’s decision. Submit requests for reconsideration by memorandum through his or her immediate commander to the approving authority. Submit requests for </w:t>
      </w:r>
      <w:r w:rsidR="00BD4FAB" w:rsidRPr="0043191B">
        <w:rPr>
          <w:b/>
          <w:szCs w:val="24"/>
          <w:u w:val="single"/>
        </w:rPr>
        <w:t>reconsideration only on the basis of legal error</w:t>
      </w:r>
      <w:r w:rsidR="00BD4FAB" w:rsidRPr="0043191B">
        <w:rPr>
          <w:szCs w:val="24"/>
        </w:rPr>
        <w:t xml:space="preserve">.  When the approving authority does not reverse his or her original decision to approve financial liability, the request for reconsideration becomes an </w:t>
      </w:r>
      <w:r w:rsidR="00BD4FAB" w:rsidRPr="0043191B">
        <w:rPr>
          <w:b/>
          <w:szCs w:val="24"/>
          <w:u w:val="single"/>
        </w:rPr>
        <w:t>appeal</w:t>
      </w:r>
      <w:r w:rsidR="00BD4FAB" w:rsidRPr="0043191B">
        <w:rPr>
          <w:szCs w:val="24"/>
        </w:rPr>
        <w:t>, which will be forwarded to the appeal authority by the approving authority. (Figure 10.7)</w:t>
      </w:r>
    </w:p>
    <w:p w14:paraId="29D8A29E" w14:textId="77777777" w:rsidR="0043191B" w:rsidRDefault="0043191B" w:rsidP="00BD4FAB">
      <w:pPr>
        <w:rPr>
          <w:b/>
          <w:szCs w:val="24"/>
        </w:rPr>
      </w:pPr>
    </w:p>
    <w:p w14:paraId="773B62CC" w14:textId="0C37F26A" w:rsidR="00BD4FAB" w:rsidRDefault="00BD4FAB" w:rsidP="0043191B">
      <w:pPr>
        <w:pStyle w:val="ListParagraph"/>
        <w:numPr>
          <w:ilvl w:val="0"/>
          <w:numId w:val="18"/>
        </w:numPr>
        <w:rPr>
          <w:szCs w:val="24"/>
        </w:rPr>
      </w:pPr>
      <w:r w:rsidRPr="0043191B">
        <w:rPr>
          <w:b/>
          <w:szCs w:val="24"/>
        </w:rPr>
        <w:lastRenderedPageBreak/>
        <w:t xml:space="preserve">Step </w:t>
      </w:r>
      <w:r w:rsidR="0043191B" w:rsidRPr="0043191B">
        <w:rPr>
          <w:b/>
          <w:szCs w:val="24"/>
        </w:rPr>
        <w:t>9</w:t>
      </w:r>
      <w:r w:rsidRPr="0043191B">
        <w:rPr>
          <w:b/>
          <w:szCs w:val="24"/>
        </w:rPr>
        <w:t xml:space="preserve">.  </w:t>
      </w:r>
      <w:r w:rsidRPr="0043191B">
        <w:rPr>
          <w:szCs w:val="24"/>
        </w:rPr>
        <w:t>Provide to FAO/</w:t>
      </w:r>
      <w:r w:rsidR="00AF62B8" w:rsidRPr="0043191B">
        <w:rPr>
          <w:szCs w:val="24"/>
        </w:rPr>
        <w:t xml:space="preserve">United States Property and Fiscal Officer (USPFO) </w:t>
      </w:r>
      <w:r w:rsidRPr="0043191B">
        <w:rPr>
          <w:szCs w:val="24"/>
        </w:rPr>
        <w:t>for collection</w:t>
      </w:r>
    </w:p>
    <w:p w14:paraId="15FA3CD1" w14:textId="77777777" w:rsidR="0043191B" w:rsidRDefault="0043191B" w:rsidP="0043191B">
      <w:pPr>
        <w:pStyle w:val="ListParagraph"/>
        <w:rPr>
          <w:szCs w:val="24"/>
        </w:rPr>
      </w:pPr>
    </w:p>
    <w:p w14:paraId="773B62CE" w14:textId="479A22B6" w:rsidR="00BD4FAB" w:rsidRPr="0043191B" w:rsidRDefault="0043191B" w:rsidP="0043191B">
      <w:pPr>
        <w:pStyle w:val="ListParagraph"/>
        <w:numPr>
          <w:ilvl w:val="0"/>
          <w:numId w:val="24"/>
        </w:numPr>
        <w:ind w:left="1080"/>
        <w:rPr>
          <w:b/>
          <w:szCs w:val="24"/>
        </w:rPr>
      </w:pPr>
      <w:r w:rsidRPr="0043191B">
        <w:rPr>
          <w:b/>
          <w:szCs w:val="24"/>
        </w:rPr>
        <w:t>Time Constraints</w:t>
      </w:r>
      <w:r w:rsidR="00BD4FAB" w:rsidRPr="0043191B">
        <w:rPr>
          <w:b/>
          <w:szCs w:val="24"/>
        </w:rPr>
        <w:t>: You have 1 day to complete Step 8.  Any delays will be explained in a letter of lateness written by the person responsible for the delay.</w:t>
      </w:r>
    </w:p>
    <w:p w14:paraId="773B62CF" w14:textId="77777777" w:rsidR="00BD4FAB" w:rsidRPr="0043191B" w:rsidRDefault="00BD4FAB" w:rsidP="0043191B">
      <w:pPr>
        <w:pStyle w:val="ListParagraph"/>
        <w:ind w:left="435"/>
        <w:rPr>
          <w:szCs w:val="24"/>
        </w:rPr>
      </w:pPr>
    </w:p>
    <w:p w14:paraId="773B62D0" w14:textId="77777777" w:rsidR="00BD4FAB" w:rsidRPr="0043191B" w:rsidRDefault="00BD4FAB" w:rsidP="00A044AC">
      <w:pPr>
        <w:pStyle w:val="ListParagraph"/>
        <w:numPr>
          <w:ilvl w:val="0"/>
          <w:numId w:val="7"/>
        </w:numPr>
        <w:rPr>
          <w:b/>
          <w:bCs/>
          <w:color w:val="000000"/>
          <w:szCs w:val="24"/>
        </w:rPr>
      </w:pPr>
      <w:r w:rsidRPr="0043191B">
        <w:rPr>
          <w:b/>
          <w:bCs/>
          <w:color w:val="000000"/>
          <w:szCs w:val="24"/>
        </w:rPr>
        <w:t>Records and Measurements.</w:t>
      </w:r>
    </w:p>
    <w:p w14:paraId="773B62D1" w14:textId="77777777" w:rsidR="00BD4FAB" w:rsidRDefault="00BD4FAB" w:rsidP="00BD4FAB">
      <w:pPr>
        <w:pStyle w:val="ListParagraph"/>
        <w:ind w:left="405"/>
        <w:rPr>
          <w:b/>
          <w:bCs/>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10"/>
        <w:gridCol w:w="1530"/>
        <w:gridCol w:w="1440"/>
        <w:gridCol w:w="990"/>
        <w:gridCol w:w="1260"/>
        <w:gridCol w:w="1530"/>
      </w:tblGrid>
      <w:tr w:rsidR="00510AAC" w:rsidRPr="003D16E8" w14:paraId="60FB7BB9" w14:textId="77777777" w:rsidTr="000E2560">
        <w:tc>
          <w:tcPr>
            <w:tcW w:w="738" w:type="dxa"/>
            <w:vAlign w:val="center"/>
          </w:tcPr>
          <w:p w14:paraId="6E7B3F0B" w14:textId="77777777" w:rsidR="00510AAC" w:rsidRPr="003D16E8" w:rsidRDefault="00510AAC" w:rsidP="000E2560">
            <w:pPr>
              <w:jc w:val="center"/>
              <w:rPr>
                <w:b/>
                <w:bCs/>
                <w:szCs w:val="24"/>
              </w:rPr>
            </w:pPr>
            <w:r w:rsidRPr="003D16E8">
              <w:rPr>
                <w:b/>
                <w:bCs/>
                <w:szCs w:val="24"/>
              </w:rPr>
              <w:t>Type</w:t>
            </w:r>
          </w:p>
        </w:tc>
        <w:tc>
          <w:tcPr>
            <w:tcW w:w="1710" w:type="dxa"/>
            <w:vAlign w:val="center"/>
          </w:tcPr>
          <w:p w14:paraId="092E75A5" w14:textId="77777777" w:rsidR="00510AAC" w:rsidRPr="003D16E8" w:rsidRDefault="00510AAC" w:rsidP="000E2560">
            <w:pPr>
              <w:jc w:val="center"/>
              <w:rPr>
                <w:b/>
                <w:bCs/>
                <w:szCs w:val="24"/>
              </w:rPr>
            </w:pPr>
            <w:r w:rsidRPr="003D16E8">
              <w:rPr>
                <w:b/>
                <w:bCs/>
                <w:szCs w:val="24"/>
              </w:rPr>
              <w:t>Description</w:t>
            </w:r>
          </w:p>
        </w:tc>
        <w:tc>
          <w:tcPr>
            <w:tcW w:w="1530" w:type="dxa"/>
            <w:vAlign w:val="center"/>
          </w:tcPr>
          <w:p w14:paraId="5663FD1A" w14:textId="77777777" w:rsidR="00510AAC" w:rsidRPr="003D16E8" w:rsidRDefault="00510AAC" w:rsidP="000E2560">
            <w:pPr>
              <w:jc w:val="center"/>
              <w:rPr>
                <w:b/>
                <w:bCs/>
                <w:szCs w:val="24"/>
              </w:rPr>
            </w:pPr>
            <w:r w:rsidRPr="003D16E8">
              <w:rPr>
                <w:b/>
                <w:bCs/>
                <w:szCs w:val="24"/>
              </w:rPr>
              <w:t>Responsible Office</w:t>
            </w:r>
          </w:p>
        </w:tc>
        <w:tc>
          <w:tcPr>
            <w:tcW w:w="1440" w:type="dxa"/>
            <w:vAlign w:val="center"/>
          </w:tcPr>
          <w:p w14:paraId="54F1B732" w14:textId="77777777" w:rsidR="00510AAC" w:rsidRPr="003D16E8" w:rsidRDefault="00510AAC" w:rsidP="000E2560">
            <w:pPr>
              <w:jc w:val="center"/>
              <w:rPr>
                <w:bCs/>
                <w:szCs w:val="24"/>
              </w:rPr>
            </w:pPr>
            <w:r w:rsidRPr="003D16E8">
              <w:rPr>
                <w:b/>
                <w:bCs/>
                <w:szCs w:val="24"/>
              </w:rPr>
              <w:t xml:space="preserve">Location </w:t>
            </w:r>
          </w:p>
        </w:tc>
        <w:tc>
          <w:tcPr>
            <w:tcW w:w="990" w:type="dxa"/>
            <w:vAlign w:val="center"/>
          </w:tcPr>
          <w:p w14:paraId="580DD074" w14:textId="77777777" w:rsidR="00510AAC" w:rsidRPr="003D16E8" w:rsidRDefault="00510AAC" w:rsidP="000E2560">
            <w:pPr>
              <w:jc w:val="center"/>
              <w:rPr>
                <w:b/>
                <w:bCs/>
                <w:szCs w:val="24"/>
              </w:rPr>
            </w:pPr>
            <w:r w:rsidRPr="003D16E8">
              <w:rPr>
                <w:b/>
                <w:bCs/>
                <w:szCs w:val="24"/>
              </w:rPr>
              <w:t>Record Media</w:t>
            </w:r>
          </w:p>
        </w:tc>
        <w:tc>
          <w:tcPr>
            <w:tcW w:w="1260" w:type="dxa"/>
            <w:vAlign w:val="center"/>
          </w:tcPr>
          <w:p w14:paraId="2502E36F" w14:textId="77777777" w:rsidR="00510AAC" w:rsidRPr="003D16E8" w:rsidRDefault="00510AAC" w:rsidP="000E2560">
            <w:pPr>
              <w:jc w:val="center"/>
              <w:rPr>
                <w:b/>
                <w:bCs/>
                <w:szCs w:val="24"/>
              </w:rPr>
            </w:pPr>
            <w:r w:rsidRPr="003D16E8">
              <w:rPr>
                <w:b/>
                <w:bCs/>
                <w:szCs w:val="24"/>
              </w:rPr>
              <w:t>Retention</w:t>
            </w:r>
          </w:p>
        </w:tc>
        <w:tc>
          <w:tcPr>
            <w:tcW w:w="1530" w:type="dxa"/>
            <w:vAlign w:val="center"/>
          </w:tcPr>
          <w:p w14:paraId="7ADBE560" w14:textId="77777777" w:rsidR="00510AAC" w:rsidRPr="003D16E8" w:rsidRDefault="00510AAC" w:rsidP="000E2560">
            <w:pPr>
              <w:jc w:val="center"/>
              <w:rPr>
                <w:b/>
                <w:bCs/>
                <w:szCs w:val="24"/>
              </w:rPr>
            </w:pPr>
            <w:r w:rsidRPr="003D16E8">
              <w:rPr>
                <w:b/>
                <w:bCs/>
                <w:szCs w:val="24"/>
              </w:rPr>
              <w:t>Disposition</w:t>
            </w:r>
          </w:p>
        </w:tc>
      </w:tr>
      <w:tr w:rsidR="00510AAC" w:rsidRPr="003D16E8" w14:paraId="4057628E" w14:textId="77777777" w:rsidTr="000E2560">
        <w:tc>
          <w:tcPr>
            <w:tcW w:w="738" w:type="dxa"/>
          </w:tcPr>
          <w:p w14:paraId="2AC65F1F" w14:textId="77777777" w:rsidR="00510AAC" w:rsidRPr="003D16E8" w:rsidRDefault="00510AAC" w:rsidP="000E2560">
            <w:pPr>
              <w:jc w:val="center"/>
              <w:rPr>
                <w:szCs w:val="24"/>
              </w:rPr>
            </w:pPr>
            <w:r w:rsidRPr="003D16E8">
              <w:rPr>
                <w:szCs w:val="24"/>
              </w:rPr>
              <w:t>R</w:t>
            </w:r>
          </w:p>
        </w:tc>
        <w:tc>
          <w:tcPr>
            <w:tcW w:w="1710" w:type="dxa"/>
          </w:tcPr>
          <w:p w14:paraId="173BE5DB" w14:textId="145608C4" w:rsidR="00510AAC" w:rsidRPr="003D16E8" w:rsidRDefault="00510AAC" w:rsidP="000E2560">
            <w:pPr>
              <w:rPr>
                <w:szCs w:val="24"/>
              </w:rPr>
            </w:pPr>
            <w:r>
              <w:rPr>
                <w:szCs w:val="24"/>
              </w:rPr>
              <w:t xml:space="preserve">DD200 </w:t>
            </w:r>
          </w:p>
        </w:tc>
        <w:tc>
          <w:tcPr>
            <w:tcW w:w="1530" w:type="dxa"/>
          </w:tcPr>
          <w:p w14:paraId="6FEDC1DF" w14:textId="77777777" w:rsidR="00510AAC" w:rsidRPr="003D16E8" w:rsidRDefault="00510AAC" w:rsidP="000E2560">
            <w:pPr>
              <w:rPr>
                <w:szCs w:val="24"/>
              </w:rPr>
            </w:pPr>
            <w:r>
              <w:rPr>
                <w:szCs w:val="24"/>
              </w:rPr>
              <w:t>DPBO/Designated Rep</w:t>
            </w:r>
          </w:p>
        </w:tc>
        <w:tc>
          <w:tcPr>
            <w:tcW w:w="1440" w:type="dxa"/>
          </w:tcPr>
          <w:p w14:paraId="0F337483" w14:textId="77777777" w:rsidR="00510AAC" w:rsidRPr="003D16E8" w:rsidRDefault="00510AAC" w:rsidP="000E2560">
            <w:pPr>
              <w:rPr>
                <w:szCs w:val="24"/>
              </w:rPr>
            </w:pPr>
            <w:r>
              <w:rPr>
                <w:szCs w:val="24"/>
              </w:rPr>
              <w:t>file cabinet</w:t>
            </w:r>
          </w:p>
        </w:tc>
        <w:tc>
          <w:tcPr>
            <w:tcW w:w="990" w:type="dxa"/>
          </w:tcPr>
          <w:p w14:paraId="440979AA" w14:textId="77777777" w:rsidR="00510AAC" w:rsidRPr="003D16E8" w:rsidRDefault="00510AAC" w:rsidP="000E2560">
            <w:pPr>
              <w:jc w:val="center"/>
              <w:rPr>
                <w:szCs w:val="24"/>
              </w:rPr>
            </w:pPr>
            <w:r>
              <w:rPr>
                <w:szCs w:val="24"/>
              </w:rPr>
              <w:t>P</w:t>
            </w:r>
          </w:p>
        </w:tc>
        <w:tc>
          <w:tcPr>
            <w:tcW w:w="1260" w:type="dxa"/>
          </w:tcPr>
          <w:p w14:paraId="3A8D51D0" w14:textId="77777777" w:rsidR="00510AAC" w:rsidRPr="003D16E8" w:rsidRDefault="00510AAC" w:rsidP="000E2560">
            <w:pPr>
              <w:rPr>
                <w:szCs w:val="24"/>
              </w:rPr>
            </w:pPr>
            <w:r>
              <w:rPr>
                <w:szCs w:val="24"/>
              </w:rPr>
              <w:t>6yrs</w:t>
            </w:r>
          </w:p>
        </w:tc>
        <w:tc>
          <w:tcPr>
            <w:tcW w:w="1530" w:type="dxa"/>
          </w:tcPr>
          <w:p w14:paraId="5A887758" w14:textId="77777777" w:rsidR="00510AAC" w:rsidRPr="003D16E8" w:rsidRDefault="00510AAC" w:rsidP="000E2560">
            <w:pPr>
              <w:rPr>
                <w:szCs w:val="24"/>
              </w:rPr>
            </w:pPr>
            <w:r>
              <w:rPr>
                <w:szCs w:val="24"/>
              </w:rPr>
              <w:t>Destroy when no longer needed</w:t>
            </w:r>
          </w:p>
        </w:tc>
      </w:tr>
    </w:tbl>
    <w:p w14:paraId="736CB787" w14:textId="77777777" w:rsidR="00510AAC" w:rsidRPr="003D16E8" w:rsidRDefault="00510AAC" w:rsidP="00510AAC">
      <w:pPr>
        <w:rPr>
          <w:b/>
          <w:bCs/>
          <w:szCs w:val="24"/>
        </w:rPr>
      </w:pPr>
      <w:r w:rsidRPr="003D16E8">
        <w:rPr>
          <w:b/>
          <w:bCs/>
          <w:szCs w:val="24"/>
        </w:rPr>
        <w:t>Description of Terms</w:t>
      </w:r>
    </w:p>
    <w:p w14:paraId="2CC99CFF" w14:textId="77777777" w:rsidR="00510AAC" w:rsidRPr="003D16E8" w:rsidRDefault="00510AAC" w:rsidP="00510AAC">
      <w:pPr>
        <w:rPr>
          <w:bCs/>
          <w:szCs w:val="24"/>
        </w:rPr>
      </w:pPr>
    </w:p>
    <w:p w14:paraId="4D98AC4A" w14:textId="77777777" w:rsidR="00510AAC" w:rsidRPr="003D16E8" w:rsidRDefault="00510AAC" w:rsidP="00510AAC">
      <w:pPr>
        <w:tabs>
          <w:tab w:val="left" w:pos="6840"/>
        </w:tabs>
        <w:rPr>
          <w:bCs/>
          <w:szCs w:val="24"/>
        </w:rPr>
      </w:pPr>
      <w:r w:rsidRPr="003D16E8">
        <w:rPr>
          <w:bCs/>
          <w:szCs w:val="24"/>
          <w:u w:val="single"/>
        </w:rPr>
        <w:t>Type:</w:t>
      </w:r>
      <w:r w:rsidRPr="003D16E8">
        <w:rPr>
          <w:bCs/>
          <w:szCs w:val="24"/>
        </w:rPr>
        <w:tab/>
      </w:r>
      <w:r w:rsidRPr="003D16E8">
        <w:rPr>
          <w:bCs/>
          <w:szCs w:val="24"/>
          <w:u w:val="single"/>
        </w:rPr>
        <w:t>Record Media</w:t>
      </w:r>
    </w:p>
    <w:p w14:paraId="751681EC" w14:textId="77777777" w:rsidR="00510AAC" w:rsidRPr="003D16E8" w:rsidRDefault="00510AAC" w:rsidP="00510AAC">
      <w:pPr>
        <w:tabs>
          <w:tab w:val="left" w:pos="720"/>
          <w:tab w:val="left" w:pos="6840"/>
        </w:tabs>
        <w:rPr>
          <w:bCs/>
          <w:szCs w:val="24"/>
        </w:rPr>
      </w:pPr>
      <w:r w:rsidRPr="003D16E8">
        <w:rPr>
          <w:bCs/>
          <w:szCs w:val="24"/>
        </w:rPr>
        <w:t>R</w:t>
      </w:r>
      <w:r w:rsidRPr="003D16E8">
        <w:rPr>
          <w:bCs/>
          <w:szCs w:val="24"/>
        </w:rPr>
        <w:tab/>
        <w:t>Record</w:t>
      </w:r>
      <w:r w:rsidRPr="003D16E8">
        <w:rPr>
          <w:bCs/>
          <w:szCs w:val="24"/>
        </w:rPr>
        <w:tab/>
        <w:t>E</w:t>
      </w:r>
      <w:r w:rsidRPr="003D16E8">
        <w:rPr>
          <w:bCs/>
          <w:szCs w:val="24"/>
        </w:rPr>
        <w:tab/>
        <w:t>Electronic</w:t>
      </w:r>
    </w:p>
    <w:p w14:paraId="7B834247" w14:textId="77777777" w:rsidR="00510AAC" w:rsidRPr="003D16E8" w:rsidRDefault="00510AAC" w:rsidP="00510AAC">
      <w:pPr>
        <w:tabs>
          <w:tab w:val="left" w:pos="720"/>
          <w:tab w:val="left" w:pos="6840"/>
        </w:tabs>
        <w:rPr>
          <w:bCs/>
          <w:szCs w:val="24"/>
        </w:rPr>
      </w:pPr>
      <w:r w:rsidRPr="003D16E8">
        <w:rPr>
          <w:bCs/>
          <w:szCs w:val="24"/>
        </w:rPr>
        <w:t>M</w:t>
      </w:r>
      <w:r w:rsidRPr="003D16E8">
        <w:rPr>
          <w:bCs/>
          <w:szCs w:val="24"/>
        </w:rPr>
        <w:tab/>
        <w:t>Measurement</w:t>
      </w:r>
      <w:r w:rsidRPr="003D16E8">
        <w:rPr>
          <w:bCs/>
          <w:szCs w:val="24"/>
        </w:rPr>
        <w:tab/>
        <w:t>P</w:t>
      </w:r>
      <w:r w:rsidRPr="003D16E8">
        <w:rPr>
          <w:bCs/>
          <w:szCs w:val="24"/>
        </w:rPr>
        <w:tab/>
        <w:t>Paper</w:t>
      </w:r>
    </w:p>
    <w:p w14:paraId="75928E42" w14:textId="77777777" w:rsidR="00510AAC" w:rsidRDefault="00510AAC" w:rsidP="00510AAC">
      <w:pPr>
        <w:rPr>
          <w:szCs w:val="24"/>
        </w:rPr>
      </w:pPr>
      <w:r>
        <w:rPr>
          <w:szCs w:val="24"/>
        </w:rPr>
        <w:t>LR</w:t>
      </w:r>
      <w:r>
        <w:rPr>
          <w:szCs w:val="24"/>
        </w:rPr>
        <w:tab/>
        <w:t>Local Requirement</w:t>
      </w:r>
    </w:p>
    <w:p w14:paraId="18CB7B39" w14:textId="77777777" w:rsidR="00EE23E7" w:rsidRPr="0043191B" w:rsidRDefault="00EE23E7" w:rsidP="00BD4FAB">
      <w:pPr>
        <w:pStyle w:val="ListParagraph"/>
        <w:ind w:left="405"/>
        <w:rPr>
          <w:b/>
          <w:bCs/>
          <w:szCs w:val="24"/>
        </w:rPr>
      </w:pPr>
    </w:p>
    <w:p w14:paraId="1DFFB5BE" w14:textId="068165AC" w:rsidR="009703B4" w:rsidRDefault="009703B4" w:rsidP="00F3133C">
      <w:pPr>
        <w:rPr>
          <w:b/>
          <w:bCs/>
          <w:szCs w:val="24"/>
        </w:rPr>
      </w:pPr>
    </w:p>
    <w:p w14:paraId="77C69060" w14:textId="436BB681" w:rsidR="009703B4" w:rsidRDefault="009703B4" w:rsidP="00BD4FAB">
      <w:pPr>
        <w:ind w:right="360"/>
        <w:rPr>
          <w:b/>
          <w:bCs/>
          <w:szCs w:val="24"/>
        </w:rPr>
      </w:pPr>
      <w:r w:rsidRPr="009703B4">
        <w:rPr>
          <w:b/>
          <w:bCs/>
          <w:szCs w:val="24"/>
        </w:rPr>
        <w:t>9.0 Attachments</w:t>
      </w:r>
    </w:p>
    <w:p w14:paraId="6F384F6C" w14:textId="63E933A6" w:rsidR="009703B4" w:rsidRPr="00A275D3" w:rsidRDefault="009703B4" w:rsidP="009703B4">
      <w:pPr>
        <w:ind w:right="360"/>
        <w:rPr>
          <w:bCs/>
          <w:szCs w:val="24"/>
        </w:rPr>
      </w:pPr>
      <w:r w:rsidRPr="00A275D3">
        <w:rPr>
          <w:bCs/>
          <w:szCs w:val="24"/>
        </w:rPr>
        <w:t>29114.1_ Attachment-A - FLIPL checklist, DA Form 7531</w:t>
      </w:r>
    </w:p>
    <w:p w14:paraId="16EED2D9" w14:textId="54B01D39" w:rsidR="00A97202" w:rsidRPr="00A275D3" w:rsidRDefault="00A97202" w:rsidP="00A97202">
      <w:pPr>
        <w:ind w:right="360"/>
        <w:rPr>
          <w:bCs/>
          <w:szCs w:val="24"/>
        </w:rPr>
      </w:pPr>
      <w:r w:rsidRPr="00A275D3">
        <w:rPr>
          <w:bCs/>
          <w:szCs w:val="24"/>
        </w:rPr>
        <w:t>29114.1_ Attachment-B - FLIPL Figures 10.1-10.7</w:t>
      </w:r>
    </w:p>
    <w:p w14:paraId="1E74464C" w14:textId="77777777" w:rsidR="00A275D3" w:rsidRPr="00A275D3" w:rsidRDefault="00A275D3" w:rsidP="00A97202">
      <w:pPr>
        <w:ind w:right="360"/>
        <w:rPr>
          <w:bCs/>
          <w:szCs w:val="24"/>
        </w:rPr>
      </w:pPr>
    </w:p>
    <w:p w14:paraId="5A9A77F8" w14:textId="77777777" w:rsidR="00F3133C" w:rsidRDefault="00F3133C" w:rsidP="00A97202">
      <w:pPr>
        <w:ind w:right="360"/>
        <w:rPr>
          <w:b/>
          <w:bCs/>
          <w:szCs w:val="24"/>
        </w:rPr>
      </w:pPr>
    </w:p>
    <w:p w14:paraId="72F93EEE" w14:textId="77777777" w:rsidR="00F3133C" w:rsidRDefault="00F3133C" w:rsidP="00A97202">
      <w:pPr>
        <w:ind w:right="360"/>
        <w:rPr>
          <w:b/>
          <w:bCs/>
          <w:szCs w:val="24"/>
        </w:rPr>
      </w:pPr>
    </w:p>
    <w:p w14:paraId="5EF0287F" w14:textId="77777777" w:rsidR="00F3133C" w:rsidRDefault="00F3133C" w:rsidP="00A97202">
      <w:pPr>
        <w:ind w:right="360"/>
        <w:rPr>
          <w:b/>
          <w:bCs/>
          <w:szCs w:val="24"/>
        </w:rPr>
      </w:pPr>
    </w:p>
    <w:p w14:paraId="3E4E69AD" w14:textId="77777777" w:rsidR="00F3133C" w:rsidRDefault="00F3133C" w:rsidP="00A97202">
      <w:pPr>
        <w:ind w:right="360"/>
        <w:rPr>
          <w:b/>
          <w:bCs/>
          <w:szCs w:val="24"/>
        </w:rPr>
      </w:pPr>
    </w:p>
    <w:p w14:paraId="6138EE02" w14:textId="77777777" w:rsidR="00F3133C" w:rsidRDefault="00F3133C" w:rsidP="00A97202">
      <w:pPr>
        <w:ind w:right="360"/>
        <w:rPr>
          <w:b/>
          <w:bCs/>
          <w:szCs w:val="24"/>
        </w:rPr>
      </w:pPr>
    </w:p>
    <w:p w14:paraId="0280DFAB" w14:textId="77777777" w:rsidR="00A275D3" w:rsidRDefault="00A275D3" w:rsidP="00A97202">
      <w:pPr>
        <w:ind w:right="360"/>
        <w:rPr>
          <w:b/>
          <w:bCs/>
          <w:szCs w:val="24"/>
        </w:rPr>
      </w:pPr>
    </w:p>
    <w:p w14:paraId="2511449E" w14:textId="77777777" w:rsidR="00A275D3" w:rsidRDefault="00A275D3" w:rsidP="00A97202">
      <w:pPr>
        <w:ind w:right="360"/>
        <w:rPr>
          <w:b/>
          <w:bCs/>
          <w:szCs w:val="24"/>
        </w:rPr>
      </w:pPr>
    </w:p>
    <w:p w14:paraId="22821C4C" w14:textId="77777777" w:rsidR="00A275D3" w:rsidRDefault="00A275D3" w:rsidP="00A97202">
      <w:pPr>
        <w:ind w:right="360"/>
        <w:rPr>
          <w:b/>
          <w:bCs/>
          <w:szCs w:val="24"/>
        </w:rPr>
      </w:pPr>
    </w:p>
    <w:p w14:paraId="7484513E" w14:textId="77777777" w:rsidR="00A275D3" w:rsidRDefault="00A275D3" w:rsidP="00A97202">
      <w:pPr>
        <w:ind w:right="360"/>
        <w:rPr>
          <w:b/>
          <w:bCs/>
          <w:szCs w:val="24"/>
        </w:rPr>
      </w:pPr>
    </w:p>
    <w:p w14:paraId="132DBC39" w14:textId="77777777" w:rsidR="00A275D3" w:rsidRDefault="00A275D3" w:rsidP="00A97202">
      <w:pPr>
        <w:ind w:right="360"/>
        <w:rPr>
          <w:b/>
          <w:bCs/>
          <w:szCs w:val="24"/>
        </w:rPr>
      </w:pPr>
    </w:p>
    <w:p w14:paraId="5C9AA48E" w14:textId="77777777" w:rsidR="00A275D3" w:rsidRPr="0043191B" w:rsidRDefault="00A275D3" w:rsidP="00A97202">
      <w:pPr>
        <w:ind w:right="360"/>
        <w:rPr>
          <w:b/>
          <w:bCs/>
          <w:szCs w:val="24"/>
        </w:rPr>
      </w:pPr>
    </w:p>
    <w:p w14:paraId="55B85896" w14:textId="4CEF647C" w:rsidR="00A97202" w:rsidRDefault="00A97202" w:rsidP="00A97202">
      <w:pPr>
        <w:ind w:right="360"/>
        <w:rPr>
          <w:b/>
          <w:bCs/>
          <w:szCs w:val="24"/>
        </w:rPr>
      </w:pPr>
    </w:p>
    <w:p w14:paraId="56F37ABC" w14:textId="77777777" w:rsidR="00A97202" w:rsidRDefault="00A97202" w:rsidP="009703B4">
      <w:pPr>
        <w:ind w:right="360"/>
        <w:rPr>
          <w:b/>
          <w:bCs/>
          <w:szCs w:val="24"/>
        </w:rPr>
      </w:pPr>
    </w:p>
    <w:p w14:paraId="278189CD" w14:textId="77777777" w:rsidR="00F3133C" w:rsidRDefault="00F3133C" w:rsidP="009703B4">
      <w:pPr>
        <w:ind w:right="360"/>
        <w:rPr>
          <w:b/>
          <w:bCs/>
          <w:szCs w:val="24"/>
        </w:rPr>
      </w:pPr>
    </w:p>
    <w:p w14:paraId="2F9052BE" w14:textId="77777777" w:rsidR="00F3133C" w:rsidRDefault="00F3133C" w:rsidP="00F3133C">
      <w:pPr>
        <w:ind w:right="360"/>
        <w:rPr>
          <w:b/>
          <w:bCs/>
          <w:szCs w:val="24"/>
        </w:rPr>
      </w:pPr>
      <w:r w:rsidRPr="00F3133C">
        <w:rPr>
          <w:b/>
          <w:bCs/>
          <w:szCs w:val="24"/>
        </w:rPr>
        <w:t>10.0 Flow Chart</w:t>
      </w:r>
    </w:p>
    <w:p w14:paraId="0DD93459" w14:textId="3CF00C33" w:rsidR="00A97202" w:rsidRDefault="00A275D3" w:rsidP="009703B4">
      <w:pPr>
        <w:ind w:right="360"/>
        <w:rPr>
          <w:b/>
          <w:bCs/>
          <w:szCs w:val="24"/>
        </w:rPr>
      </w:pPr>
      <w:r>
        <w:rPr>
          <w:b/>
          <w:bCs/>
          <w:noProof/>
        </w:rPr>
        <w:lastRenderedPageBreak/>
        <w:drawing>
          <wp:inline distT="0" distB="0" distL="0" distR="0" wp14:anchorId="6010E800" wp14:editId="6FEAB6FF">
            <wp:extent cx="5943600" cy="5086985"/>
            <wp:effectExtent l="0" t="0" r="0" b="0"/>
            <wp:docPr id="7" name="Picture 0" descr="Short FLIPL Proces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 FLIPL Process .jpg"/>
                    <pic:cNvPicPr/>
                  </pic:nvPicPr>
                  <pic:blipFill>
                    <a:blip r:embed="rId15" cstate="print"/>
                    <a:stretch>
                      <a:fillRect/>
                    </a:stretch>
                  </pic:blipFill>
                  <pic:spPr>
                    <a:xfrm>
                      <a:off x="0" y="0"/>
                      <a:ext cx="5943600" cy="5086985"/>
                    </a:xfrm>
                    <a:prstGeom prst="rect">
                      <a:avLst/>
                    </a:prstGeom>
                  </pic:spPr>
                </pic:pic>
              </a:graphicData>
            </a:graphic>
          </wp:inline>
        </w:drawing>
      </w:r>
    </w:p>
    <w:p w14:paraId="179DA717" w14:textId="77777777" w:rsidR="009703B4" w:rsidRDefault="009703B4" w:rsidP="00BD4FAB">
      <w:pPr>
        <w:ind w:right="360"/>
        <w:rPr>
          <w:b/>
          <w:bCs/>
          <w:szCs w:val="24"/>
        </w:rPr>
      </w:pPr>
    </w:p>
    <w:p w14:paraId="7E71ACB5" w14:textId="69FBA40C" w:rsidR="00A275D3" w:rsidRPr="0043191B" w:rsidRDefault="00A275D3" w:rsidP="00BD4FAB">
      <w:pPr>
        <w:ind w:right="360"/>
        <w:rPr>
          <w:b/>
          <w:bCs/>
          <w:szCs w:val="24"/>
        </w:rPr>
      </w:pPr>
      <w:r>
        <w:rPr>
          <w:noProof/>
        </w:rPr>
        <w:lastRenderedPageBreak/>
        <w:drawing>
          <wp:inline distT="0" distB="0" distL="0" distR="0" wp14:anchorId="75D149C8" wp14:editId="606BB10E">
            <wp:extent cx="5943600" cy="4743450"/>
            <wp:effectExtent l="0" t="0" r="0" b="0"/>
            <wp:docPr id="8" name="Picture 1" descr="Long FLIPL Proces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FLIPL Process .jpg"/>
                    <pic:cNvPicPr/>
                  </pic:nvPicPr>
                  <pic:blipFill>
                    <a:blip r:embed="rId16" cstate="print"/>
                    <a:stretch>
                      <a:fillRect/>
                    </a:stretch>
                  </pic:blipFill>
                  <pic:spPr>
                    <a:xfrm>
                      <a:off x="0" y="0"/>
                      <a:ext cx="5943600" cy="4743450"/>
                    </a:xfrm>
                    <a:prstGeom prst="rect">
                      <a:avLst/>
                    </a:prstGeom>
                  </pic:spPr>
                </pic:pic>
              </a:graphicData>
            </a:graphic>
          </wp:inline>
        </w:drawing>
      </w:r>
    </w:p>
    <w:sectPr w:rsidR="00A275D3" w:rsidRPr="0043191B" w:rsidSect="00376CA0">
      <w:headerReference w:type="default" r:id="rId17"/>
      <w:footerReference w:type="default" r:id="rId18"/>
      <w:pgSz w:w="12240" w:h="15840"/>
      <w:pgMar w:top="1440" w:right="1440" w:bottom="1440"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27FE6" w14:textId="77777777" w:rsidR="00F26D80" w:rsidRDefault="00F26D80" w:rsidP="00DD4B94">
      <w:r>
        <w:separator/>
      </w:r>
    </w:p>
  </w:endnote>
  <w:endnote w:type="continuationSeparator" w:id="0">
    <w:p w14:paraId="314F8414" w14:textId="77777777" w:rsidR="00F26D80" w:rsidRDefault="00F26D80" w:rsidP="00DD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B6341" w14:textId="77777777" w:rsidR="002E1A5B" w:rsidRDefault="002E1A5B" w:rsidP="002E1A5B">
    <w:pPr>
      <w:pStyle w:val="Footer"/>
      <w:tabs>
        <w:tab w:val="clear" w:pos="4320"/>
        <w:tab w:val="clear" w:pos="8640"/>
        <w:tab w:val="left" w:pos="720"/>
        <w:tab w:val="center" w:pos="4680"/>
        <w:tab w:val="right" w:pos="9360"/>
      </w:tabs>
      <w:jc w:val="center"/>
      <w:rPr>
        <w:b/>
        <w:bCs/>
        <w:i/>
        <w:iCs/>
        <w:sz w:val="20"/>
        <w:u w:val="single"/>
      </w:rPr>
    </w:pPr>
    <w:r>
      <w:rPr>
        <w:b/>
        <w:bCs/>
        <w:i/>
        <w:iCs/>
        <w:sz w:val="20"/>
        <w:u w:val="single"/>
      </w:rPr>
      <w:t>C</w:t>
    </w:r>
    <w:r w:rsidR="006A1078">
      <w:rPr>
        <w:b/>
        <w:bCs/>
        <w:i/>
        <w:iCs/>
        <w:sz w:val="20"/>
        <w:u w:val="single"/>
      </w:rPr>
      <w:t>urrent Approved Version: 10/1/2014</w:t>
    </w:r>
    <w:r>
      <w:rPr>
        <w:b/>
        <w:bCs/>
        <w:i/>
        <w:iCs/>
        <w:sz w:val="20"/>
        <w:u w:val="single"/>
      </w:rPr>
      <w:t>.  Printed copies are for “Information Only.”  The controlled version resides on the National QMS SharePoint Portal.</w:t>
    </w:r>
  </w:p>
  <w:p w14:paraId="773B6342" w14:textId="77777777" w:rsidR="005D02DF" w:rsidRDefault="00B92D6C">
    <w:pPr>
      <w:pStyle w:val="Footer"/>
      <w:tabs>
        <w:tab w:val="clear" w:pos="4320"/>
        <w:tab w:val="clear" w:pos="8640"/>
      </w:tabs>
      <w:jc w:val="center"/>
      <w:rPr>
        <w:b/>
        <w:bCs/>
        <w:i/>
        <w:iCs/>
        <w:sz w:val="20"/>
        <w:u w:val="single"/>
      </w:rPr>
    </w:pPr>
    <w:r>
      <w:rPr>
        <w:b/>
        <w:bCs/>
        <w:i/>
        <w:iCs/>
        <w:sz w:val="20"/>
        <w:u w:val="single"/>
      </w:rPr>
      <w:t>.</w:t>
    </w:r>
  </w:p>
  <w:p w14:paraId="773B6343" w14:textId="77777777" w:rsidR="005D02DF" w:rsidRDefault="00B92D6C">
    <w:pPr>
      <w:pStyle w:val="Footer"/>
      <w:tabs>
        <w:tab w:val="clear" w:pos="4320"/>
        <w:tab w:val="clear" w:pos="8640"/>
      </w:tabs>
      <w:rPr>
        <w:sz w:val="20"/>
      </w:rPr>
    </w:pPr>
    <w:r>
      <w:rPr>
        <w:sz w:val="20"/>
      </w:rPr>
      <w:t>USACE QMS</w:t>
    </w:r>
    <w:r>
      <w:rPr>
        <w:sz w:val="20"/>
      </w:rPr>
      <w:tab/>
    </w:r>
    <w:r>
      <w:rPr>
        <w:sz w:val="20"/>
      </w:rPr>
      <w:tab/>
    </w:r>
    <w:r>
      <w:rPr>
        <w:sz w:val="20"/>
      </w:rPr>
      <w:tab/>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sidR="00183DF5">
      <w:rPr>
        <w:rStyle w:val="PageNumber"/>
        <w:sz w:val="20"/>
      </w:rPr>
      <w:fldChar w:fldCharType="begin"/>
    </w:r>
    <w:r>
      <w:rPr>
        <w:rStyle w:val="PageNumber"/>
        <w:sz w:val="20"/>
      </w:rPr>
      <w:instrText xml:space="preserve"> PAGE </w:instrText>
    </w:r>
    <w:r w:rsidR="00183DF5">
      <w:rPr>
        <w:rStyle w:val="PageNumber"/>
        <w:sz w:val="20"/>
      </w:rPr>
      <w:fldChar w:fldCharType="separate"/>
    </w:r>
    <w:r w:rsidR="006106CD">
      <w:rPr>
        <w:rStyle w:val="PageNumber"/>
        <w:noProof/>
        <w:sz w:val="20"/>
      </w:rPr>
      <w:t>1</w:t>
    </w:r>
    <w:r w:rsidR="00183DF5">
      <w:rPr>
        <w:rStyle w:val="PageNumber"/>
        <w:sz w:val="20"/>
      </w:rPr>
      <w:fldChar w:fldCharType="end"/>
    </w:r>
    <w:r>
      <w:rPr>
        <w:rStyle w:val="PageNumber"/>
        <w:sz w:val="20"/>
      </w:rPr>
      <w:t xml:space="preserve"> of </w:t>
    </w:r>
    <w:r w:rsidR="00183DF5">
      <w:rPr>
        <w:rStyle w:val="PageNumber"/>
        <w:sz w:val="20"/>
      </w:rPr>
      <w:fldChar w:fldCharType="begin"/>
    </w:r>
    <w:r>
      <w:rPr>
        <w:rStyle w:val="PageNumber"/>
        <w:sz w:val="20"/>
      </w:rPr>
      <w:instrText xml:space="preserve"> NUMPAGES </w:instrText>
    </w:r>
    <w:r w:rsidR="00183DF5">
      <w:rPr>
        <w:rStyle w:val="PageNumber"/>
        <w:sz w:val="20"/>
      </w:rPr>
      <w:fldChar w:fldCharType="separate"/>
    </w:r>
    <w:r w:rsidR="006106CD">
      <w:rPr>
        <w:rStyle w:val="PageNumber"/>
        <w:noProof/>
        <w:sz w:val="20"/>
      </w:rPr>
      <w:t>10</w:t>
    </w:r>
    <w:r w:rsidR="00183DF5">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41000" w14:textId="77777777" w:rsidR="00F26D80" w:rsidRDefault="00F26D80" w:rsidP="00DD4B94">
      <w:r>
        <w:separator/>
      </w:r>
    </w:p>
  </w:footnote>
  <w:footnote w:type="continuationSeparator" w:id="0">
    <w:p w14:paraId="11434651" w14:textId="77777777" w:rsidR="00F26D80" w:rsidRDefault="00F26D80" w:rsidP="00DD4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B633F" w14:textId="77777777" w:rsidR="005D02DF" w:rsidRDefault="00F26D80">
    <w:pPr>
      <w:pStyle w:val="Header"/>
    </w:pPr>
  </w:p>
  <w:p w14:paraId="773B6340" w14:textId="77777777" w:rsidR="005D02DF" w:rsidRDefault="00F26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42B1"/>
    <w:multiLevelType w:val="hybridMultilevel"/>
    <w:tmpl w:val="87A668BC"/>
    <w:lvl w:ilvl="0" w:tplc="04090001">
      <w:start w:val="1"/>
      <w:numFmt w:val="bullet"/>
      <w:lvlText w:val=""/>
      <w:lvlJc w:val="left"/>
      <w:pPr>
        <w:tabs>
          <w:tab w:val="num" w:pos="1080"/>
        </w:tabs>
        <w:ind w:left="1080" w:hanging="360"/>
      </w:pPr>
      <w:rPr>
        <w:rFonts w:ascii="Symbol" w:hAnsi="Symbol" w:hint="default"/>
      </w:rPr>
    </w:lvl>
    <w:lvl w:ilvl="1" w:tplc="731A165E">
      <w:start w:val="1"/>
      <w:numFmt w:val="bullet"/>
      <w:lvlText w:val="•"/>
      <w:lvlJc w:val="left"/>
      <w:pPr>
        <w:tabs>
          <w:tab w:val="num" w:pos="1800"/>
        </w:tabs>
        <w:ind w:left="1800" w:hanging="360"/>
      </w:pPr>
      <w:rPr>
        <w:rFonts w:ascii="Times New Roman" w:hAnsi="Times New Roman" w:hint="default"/>
      </w:rPr>
    </w:lvl>
    <w:lvl w:ilvl="2" w:tplc="8820A88C">
      <w:start w:val="2746"/>
      <w:numFmt w:val="bullet"/>
      <w:lvlText w:val="•"/>
      <w:lvlJc w:val="left"/>
      <w:pPr>
        <w:tabs>
          <w:tab w:val="num" w:pos="2520"/>
        </w:tabs>
        <w:ind w:left="2520" w:hanging="360"/>
      </w:pPr>
      <w:rPr>
        <w:rFonts w:ascii="Times New Roman" w:hAnsi="Times New Roman" w:hint="default"/>
      </w:rPr>
    </w:lvl>
    <w:lvl w:ilvl="3" w:tplc="0409000D">
      <w:start w:val="1"/>
      <w:numFmt w:val="bullet"/>
      <w:lvlText w:val=""/>
      <w:lvlJc w:val="left"/>
      <w:pPr>
        <w:tabs>
          <w:tab w:val="num" w:pos="3240"/>
        </w:tabs>
        <w:ind w:left="3240" w:hanging="360"/>
      </w:pPr>
      <w:rPr>
        <w:rFonts w:ascii="Wingdings" w:hAnsi="Wingdings" w:hint="default"/>
      </w:rPr>
    </w:lvl>
    <w:lvl w:ilvl="4" w:tplc="516C1DB6" w:tentative="1">
      <w:start w:val="1"/>
      <w:numFmt w:val="bullet"/>
      <w:lvlText w:val="•"/>
      <w:lvlJc w:val="left"/>
      <w:pPr>
        <w:tabs>
          <w:tab w:val="num" w:pos="3960"/>
        </w:tabs>
        <w:ind w:left="3960" w:hanging="360"/>
      </w:pPr>
      <w:rPr>
        <w:rFonts w:ascii="Times New Roman" w:hAnsi="Times New Roman" w:hint="default"/>
      </w:rPr>
    </w:lvl>
    <w:lvl w:ilvl="5" w:tplc="297E37DE" w:tentative="1">
      <w:start w:val="1"/>
      <w:numFmt w:val="bullet"/>
      <w:lvlText w:val="•"/>
      <w:lvlJc w:val="left"/>
      <w:pPr>
        <w:tabs>
          <w:tab w:val="num" w:pos="4680"/>
        </w:tabs>
        <w:ind w:left="4680" w:hanging="360"/>
      </w:pPr>
      <w:rPr>
        <w:rFonts w:ascii="Times New Roman" w:hAnsi="Times New Roman" w:hint="default"/>
      </w:rPr>
    </w:lvl>
    <w:lvl w:ilvl="6" w:tplc="C1A8CFE2" w:tentative="1">
      <w:start w:val="1"/>
      <w:numFmt w:val="bullet"/>
      <w:lvlText w:val="•"/>
      <w:lvlJc w:val="left"/>
      <w:pPr>
        <w:tabs>
          <w:tab w:val="num" w:pos="5400"/>
        </w:tabs>
        <w:ind w:left="5400" w:hanging="360"/>
      </w:pPr>
      <w:rPr>
        <w:rFonts w:ascii="Times New Roman" w:hAnsi="Times New Roman" w:hint="default"/>
      </w:rPr>
    </w:lvl>
    <w:lvl w:ilvl="7" w:tplc="AACCECF4" w:tentative="1">
      <w:start w:val="1"/>
      <w:numFmt w:val="bullet"/>
      <w:lvlText w:val="•"/>
      <w:lvlJc w:val="left"/>
      <w:pPr>
        <w:tabs>
          <w:tab w:val="num" w:pos="6120"/>
        </w:tabs>
        <w:ind w:left="6120" w:hanging="360"/>
      </w:pPr>
      <w:rPr>
        <w:rFonts w:ascii="Times New Roman" w:hAnsi="Times New Roman" w:hint="default"/>
      </w:rPr>
    </w:lvl>
    <w:lvl w:ilvl="8" w:tplc="EE64F22E" w:tentative="1">
      <w:start w:val="1"/>
      <w:numFmt w:val="bullet"/>
      <w:lvlText w:val="•"/>
      <w:lvlJc w:val="left"/>
      <w:pPr>
        <w:tabs>
          <w:tab w:val="num" w:pos="6840"/>
        </w:tabs>
        <w:ind w:left="6840" w:hanging="360"/>
      </w:pPr>
      <w:rPr>
        <w:rFonts w:ascii="Times New Roman" w:hAnsi="Times New Roman" w:hint="default"/>
      </w:rPr>
    </w:lvl>
  </w:abstractNum>
  <w:abstractNum w:abstractNumId="1" w15:restartNumberingAfterBreak="0">
    <w:nsid w:val="14F41A14"/>
    <w:multiLevelType w:val="hybridMultilevel"/>
    <w:tmpl w:val="6C66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47EF6"/>
    <w:multiLevelType w:val="hybridMultilevel"/>
    <w:tmpl w:val="06FC65B4"/>
    <w:lvl w:ilvl="0" w:tplc="8820A88C">
      <w:start w:val="2746"/>
      <w:numFmt w:val="bullet"/>
      <w:lvlText w:val="•"/>
      <w:lvlJc w:val="left"/>
      <w:pPr>
        <w:tabs>
          <w:tab w:val="num" w:pos="3240"/>
        </w:tabs>
        <w:ind w:left="32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A1F15A1"/>
    <w:multiLevelType w:val="hybridMultilevel"/>
    <w:tmpl w:val="A16E6C30"/>
    <w:lvl w:ilvl="0" w:tplc="04090001">
      <w:start w:val="1"/>
      <w:numFmt w:val="bullet"/>
      <w:lvlText w:val=""/>
      <w:lvlJc w:val="left"/>
      <w:pPr>
        <w:ind w:left="1080" w:hanging="360"/>
      </w:pPr>
      <w:rPr>
        <w:rFonts w:ascii="Symbol" w:hAnsi="Symbol" w:hint="default"/>
      </w:rPr>
    </w:lvl>
    <w:lvl w:ilvl="1" w:tplc="EB78082C">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854878"/>
    <w:multiLevelType w:val="hybridMultilevel"/>
    <w:tmpl w:val="EF9EF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C3319"/>
    <w:multiLevelType w:val="hybridMultilevel"/>
    <w:tmpl w:val="E7788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E22B1"/>
    <w:multiLevelType w:val="hybridMultilevel"/>
    <w:tmpl w:val="144056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07187C"/>
    <w:multiLevelType w:val="hybridMultilevel"/>
    <w:tmpl w:val="E932E33E"/>
    <w:lvl w:ilvl="0" w:tplc="8820A88C">
      <w:start w:val="2746"/>
      <w:numFmt w:val="bullet"/>
      <w:lvlText w:val="•"/>
      <w:lvlJc w:val="left"/>
      <w:pPr>
        <w:tabs>
          <w:tab w:val="num" w:pos="2160"/>
        </w:tabs>
        <w:ind w:left="21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A607D4"/>
    <w:multiLevelType w:val="multilevel"/>
    <w:tmpl w:val="06EE40D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A367FCA"/>
    <w:multiLevelType w:val="hybridMultilevel"/>
    <w:tmpl w:val="62D4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05775"/>
    <w:multiLevelType w:val="hybridMultilevel"/>
    <w:tmpl w:val="B52271A4"/>
    <w:lvl w:ilvl="0" w:tplc="8820A88C">
      <w:start w:val="2746"/>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5EB10243"/>
    <w:multiLevelType w:val="multilevel"/>
    <w:tmpl w:val="C21076FA"/>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13750B8"/>
    <w:multiLevelType w:val="hybridMultilevel"/>
    <w:tmpl w:val="C8AC10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31B0D"/>
    <w:multiLevelType w:val="hybridMultilevel"/>
    <w:tmpl w:val="FC561326"/>
    <w:lvl w:ilvl="0" w:tplc="8E34D1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94163"/>
    <w:multiLevelType w:val="hybridMultilevel"/>
    <w:tmpl w:val="A132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F6C0A"/>
    <w:multiLevelType w:val="hybridMultilevel"/>
    <w:tmpl w:val="26061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234C85"/>
    <w:multiLevelType w:val="hybridMultilevel"/>
    <w:tmpl w:val="7CE019FC"/>
    <w:lvl w:ilvl="0" w:tplc="B2480948">
      <w:start w:val="1"/>
      <w:numFmt w:val="bullet"/>
      <w:lvlText w:val="•"/>
      <w:lvlJc w:val="left"/>
      <w:pPr>
        <w:tabs>
          <w:tab w:val="num" w:pos="1080"/>
        </w:tabs>
        <w:ind w:left="1080" w:hanging="360"/>
      </w:pPr>
      <w:rPr>
        <w:rFonts w:ascii="Times New Roman" w:hAnsi="Times New Roman" w:hint="default"/>
      </w:rPr>
    </w:lvl>
    <w:lvl w:ilvl="1" w:tplc="731A165E">
      <w:start w:val="1"/>
      <w:numFmt w:val="bullet"/>
      <w:lvlText w:val="•"/>
      <w:lvlJc w:val="left"/>
      <w:pPr>
        <w:tabs>
          <w:tab w:val="num" w:pos="1800"/>
        </w:tabs>
        <w:ind w:left="1800" w:hanging="360"/>
      </w:pPr>
      <w:rPr>
        <w:rFonts w:ascii="Times New Roman" w:hAnsi="Times New Roman" w:hint="default"/>
      </w:rPr>
    </w:lvl>
    <w:lvl w:ilvl="2" w:tplc="8820A88C">
      <w:start w:val="2746"/>
      <w:numFmt w:val="bullet"/>
      <w:lvlText w:val="•"/>
      <w:lvlJc w:val="left"/>
      <w:pPr>
        <w:tabs>
          <w:tab w:val="num" w:pos="2520"/>
        </w:tabs>
        <w:ind w:left="2520" w:hanging="360"/>
      </w:pPr>
      <w:rPr>
        <w:rFonts w:ascii="Times New Roman" w:hAnsi="Times New Roman" w:hint="default"/>
      </w:rPr>
    </w:lvl>
    <w:lvl w:ilvl="3" w:tplc="0409000D">
      <w:start w:val="1"/>
      <w:numFmt w:val="bullet"/>
      <w:lvlText w:val=""/>
      <w:lvlJc w:val="left"/>
      <w:pPr>
        <w:tabs>
          <w:tab w:val="num" w:pos="3240"/>
        </w:tabs>
        <w:ind w:left="3240" w:hanging="360"/>
      </w:pPr>
      <w:rPr>
        <w:rFonts w:ascii="Wingdings" w:hAnsi="Wingdings" w:hint="default"/>
      </w:rPr>
    </w:lvl>
    <w:lvl w:ilvl="4" w:tplc="516C1DB6" w:tentative="1">
      <w:start w:val="1"/>
      <w:numFmt w:val="bullet"/>
      <w:lvlText w:val="•"/>
      <w:lvlJc w:val="left"/>
      <w:pPr>
        <w:tabs>
          <w:tab w:val="num" w:pos="3960"/>
        </w:tabs>
        <w:ind w:left="3960" w:hanging="360"/>
      </w:pPr>
      <w:rPr>
        <w:rFonts w:ascii="Times New Roman" w:hAnsi="Times New Roman" w:hint="default"/>
      </w:rPr>
    </w:lvl>
    <w:lvl w:ilvl="5" w:tplc="297E37DE" w:tentative="1">
      <w:start w:val="1"/>
      <w:numFmt w:val="bullet"/>
      <w:lvlText w:val="•"/>
      <w:lvlJc w:val="left"/>
      <w:pPr>
        <w:tabs>
          <w:tab w:val="num" w:pos="4680"/>
        </w:tabs>
        <w:ind w:left="4680" w:hanging="360"/>
      </w:pPr>
      <w:rPr>
        <w:rFonts w:ascii="Times New Roman" w:hAnsi="Times New Roman" w:hint="default"/>
      </w:rPr>
    </w:lvl>
    <w:lvl w:ilvl="6" w:tplc="C1A8CFE2" w:tentative="1">
      <w:start w:val="1"/>
      <w:numFmt w:val="bullet"/>
      <w:lvlText w:val="•"/>
      <w:lvlJc w:val="left"/>
      <w:pPr>
        <w:tabs>
          <w:tab w:val="num" w:pos="5400"/>
        </w:tabs>
        <w:ind w:left="5400" w:hanging="360"/>
      </w:pPr>
      <w:rPr>
        <w:rFonts w:ascii="Times New Roman" w:hAnsi="Times New Roman" w:hint="default"/>
      </w:rPr>
    </w:lvl>
    <w:lvl w:ilvl="7" w:tplc="AACCECF4" w:tentative="1">
      <w:start w:val="1"/>
      <w:numFmt w:val="bullet"/>
      <w:lvlText w:val="•"/>
      <w:lvlJc w:val="left"/>
      <w:pPr>
        <w:tabs>
          <w:tab w:val="num" w:pos="6120"/>
        </w:tabs>
        <w:ind w:left="6120" w:hanging="360"/>
      </w:pPr>
      <w:rPr>
        <w:rFonts w:ascii="Times New Roman" w:hAnsi="Times New Roman" w:hint="default"/>
      </w:rPr>
    </w:lvl>
    <w:lvl w:ilvl="8" w:tplc="EE64F22E" w:tentative="1">
      <w:start w:val="1"/>
      <w:numFmt w:val="bullet"/>
      <w:lvlText w:val="•"/>
      <w:lvlJc w:val="left"/>
      <w:pPr>
        <w:tabs>
          <w:tab w:val="num" w:pos="6840"/>
        </w:tabs>
        <w:ind w:left="6840" w:hanging="360"/>
      </w:pPr>
      <w:rPr>
        <w:rFonts w:ascii="Times New Roman" w:hAnsi="Times New Roman" w:hint="default"/>
      </w:rPr>
    </w:lvl>
  </w:abstractNum>
  <w:abstractNum w:abstractNumId="17" w15:restartNumberingAfterBreak="0">
    <w:nsid w:val="6D5B0E22"/>
    <w:multiLevelType w:val="hybridMultilevel"/>
    <w:tmpl w:val="0D76C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D8441D"/>
    <w:multiLevelType w:val="hybridMultilevel"/>
    <w:tmpl w:val="38603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D0DFF"/>
    <w:multiLevelType w:val="hybridMultilevel"/>
    <w:tmpl w:val="EDC4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15459"/>
    <w:multiLevelType w:val="hybridMultilevel"/>
    <w:tmpl w:val="81B2F8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687147"/>
    <w:multiLevelType w:val="hybridMultilevel"/>
    <w:tmpl w:val="00925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0E56BE"/>
    <w:multiLevelType w:val="hybridMultilevel"/>
    <w:tmpl w:val="24346A48"/>
    <w:lvl w:ilvl="0" w:tplc="0409000D">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D8C4A5A"/>
    <w:multiLevelType w:val="hybridMultilevel"/>
    <w:tmpl w:val="2752E8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6"/>
  </w:num>
  <w:num w:numId="4">
    <w:abstractNumId w:val="13"/>
  </w:num>
  <w:num w:numId="5">
    <w:abstractNumId w:val="3"/>
  </w:num>
  <w:num w:numId="6">
    <w:abstractNumId w:val="15"/>
  </w:num>
  <w:num w:numId="7">
    <w:abstractNumId w:val="8"/>
  </w:num>
  <w:num w:numId="8">
    <w:abstractNumId w:val="6"/>
  </w:num>
  <w:num w:numId="9">
    <w:abstractNumId w:val="17"/>
  </w:num>
  <w:num w:numId="10">
    <w:abstractNumId w:val="21"/>
  </w:num>
  <w:num w:numId="11">
    <w:abstractNumId w:val="1"/>
  </w:num>
  <w:num w:numId="12">
    <w:abstractNumId w:val="10"/>
  </w:num>
  <w:num w:numId="13">
    <w:abstractNumId w:val="7"/>
  </w:num>
  <w:num w:numId="14">
    <w:abstractNumId w:val="2"/>
  </w:num>
  <w:num w:numId="15">
    <w:abstractNumId w:val="22"/>
  </w:num>
  <w:num w:numId="16">
    <w:abstractNumId w:val="4"/>
  </w:num>
  <w:num w:numId="17">
    <w:abstractNumId w:val="18"/>
  </w:num>
  <w:num w:numId="18">
    <w:abstractNumId w:val="19"/>
  </w:num>
  <w:num w:numId="19">
    <w:abstractNumId w:val="12"/>
  </w:num>
  <w:num w:numId="20">
    <w:abstractNumId w:val="9"/>
  </w:num>
  <w:num w:numId="21">
    <w:abstractNumId w:val="0"/>
  </w:num>
  <w:num w:numId="22">
    <w:abstractNumId w:val="23"/>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AB"/>
    <w:rsid w:val="00041C4D"/>
    <w:rsid w:val="000457E5"/>
    <w:rsid w:val="000C01F1"/>
    <w:rsid w:val="001004AB"/>
    <w:rsid w:val="001064AE"/>
    <w:rsid w:val="00115839"/>
    <w:rsid w:val="001646EE"/>
    <w:rsid w:val="001718BB"/>
    <w:rsid w:val="00175789"/>
    <w:rsid w:val="00183DF5"/>
    <w:rsid w:val="00184DA9"/>
    <w:rsid w:val="001924ED"/>
    <w:rsid w:val="001A18EE"/>
    <w:rsid w:val="001A798E"/>
    <w:rsid w:val="001A7E12"/>
    <w:rsid w:val="001C1837"/>
    <w:rsid w:val="001D77F4"/>
    <w:rsid w:val="001D7DF7"/>
    <w:rsid w:val="001F6C7D"/>
    <w:rsid w:val="00210183"/>
    <w:rsid w:val="00261503"/>
    <w:rsid w:val="002801DF"/>
    <w:rsid w:val="00291BD5"/>
    <w:rsid w:val="00295F9E"/>
    <w:rsid w:val="002E1A5B"/>
    <w:rsid w:val="002E4871"/>
    <w:rsid w:val="0030678E"/>
    <w:rsid w:val="00314EA3"/>
    <w:rsid w:val="0032381C"/>
    <w:rsid w:val="003560AD"/>
    <w:rsid w:val="00390880"/>
    <w:rsid w:val="003A0167"/>
    <w:rsid w:val="003A4AE4"/>
    <w:rsid w:val="003B6391"/>
    <w:rsid w:val="003C3269"/>
    <w:rsid w:val="003D5691"/>
    <w:rsid w:val="003E4F86"/>
    <w:rsid w:val="00406202"/>
    <w:rsid w:val="0043191B"/>
    <w:rsid w:val="00442EDB"/>
    <w:rsid w:val="00463580"/>
    <w:rsid w:val="00494E6B"/>
    <w:rsid w:val="004C2029"/>
    <w:rsid w:val="00506905"/>
    <w:rsid w:val="00510AAC"/>
    <w:rsid w:val="00510D87"/>
    <w:rsid w:val="00565651"/>
    <w:rsid w:val="00597213"/>
    <w:rsid w:val="00597630"/>
    <w:rsid w:val="005B7138"/>
    <w:rsid w:val="005C1B71"/>
    <w:rsid w:val="005C2F0C"/>
    <w:rsid w:val="005E7E1C"/>
    <w:rsid w:val="006106CD"/>
    <w:rsid w:val="006167F9"/>
    <w:rsid w:val="00634C9D"/>
    <w:rsid w:val="006447D1"/>
    <w:rsid w:val="006A1078"/>
    <w:rsid w:val="00733BE0"/>
    <w:rsid w:val="00761642"/>
    <w:rsid w:val="007C3E5A"/>
    <w:rsid w:val="007E0161"/>
    <w:rsid w:val="00814C9A"/>
    <w:rsid w:val="00816E63"/>
    <w:rsid w:val="00846BA4"/>
    <w:rsid w:val="00847858"/>
    <w:rsid w:val="00857CD3"/>
    <w:rsid w:val="008A45A9"/>
    <w:rsid w:val="00904F07"/>
    <w:rsid w:val="009112EA"/>
    <w:rsid w:val="00947C04"/>
    <w:rsid w:val="0096439B"/>
    <w:rsid w:val="009703B4"/>
    <w:rsid w:val="0098209D"/>
    <w:rsid w:val="009C0318"/>
    <w:rsid w:val="009D6459"/>
    <w:rsid w:val="00A044AC"/>
    <w:rsid w:val="00A169F9"/>
    <w:rsid w:val="00A275D3"/>
    <w:rsid w:val="00A439E8"/>
    <w:rsid w:val="00A53BFF"/>
    <w:rsid w:val="00A6058E"/>
    <w:rsid w:val="00A71E31"/>
    <w:rsid w:val="00A80A90"/>
    <w:rsid w:val="00A97202"/>
    <w:rsid w:val="00AE5BA6"/>
    <w:rsid w:val="00AF62B8"/>
    <w:rsid w:val="00B17BC3"/>
    <w:rsid w:val="00B33723"/>
    <w:rsid w:val="00B75732"/>
    <w:rsid w:val="00B82827"/>
    <w:rsid w:val="00B86BD3"/>
    <w:rsid w:val="00B92D6C"/>
    <w:rsid w:val="00BA727A"/>
    <w:rsid w:val="00BB6F7E"/>
    <w:rsid w:val="00BC099F"/>
    <w:rsid w:val="00BD4FAB"/>
    <w:rsid w:val="00BE513F"/>
    <w:rsid w:val="00BE7589"/>
    <w:rsid w:val="00C02579"/>
    <w:rsid w:val="00C3250E"/>
    <w:rsid w:val="00C40F55"/>
    <w:rsid w:val="00C4369A"/>
    <w:rsid w:val="00C460BD"/>
    <w:rsid w:val="00C53DED"/>
    <w:rsid w:val="00C5591C"/>
    <w:rsid w:val="00C82738"/>
    <w:rsid w:val="00CA68EF"/>
    <w:rsid w:val="00CA6D1F"/>
    <w:rsid w:val="00CF5537"/>
    <w:rsid w:val="00D378D8"/>
    <w:rsid w:val="00D37B93"/>
    <w:rsid w:val="00D511A5"/>
    <w:rsid w:val="00D64E79"/>
    <w:rsid w:val="00D64EDA"/>
    <w:rsid w:val="00D814A1"/>
    <w:rsid w:val="00DA30EE"/>
    <w:rsid w:val="00DD1B7E"/>
    <w:rsid w:val="00DD4B94"/>
    <w:rsid w:val="00DE42C0"/>
    <w:rsid w:val="00E41089"/>
    <w:rsid w:val="00E60325"/>
    <w:rsid w:val="00E61B51"/>
    <w:rsid w:val="00EC580A"/>
    <w:rsid w:val="00EE23E7"/>
    <w:rsid w:val="00F07629"/>
    <w:rsid w:val="00F26D80"/>
    <w:rsid w:val="00F3133C"/>
    <w:rsid w:val="00F73A5A"/>
    <w:rsid w:val="00F928F2"/>
    <w:rsid w:val="00F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73B6247"/>
  <w15:docId w15:val="{49A9D460-F065-4CED-A26E-66401BC2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A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D4FAB"/>
    <w:pPr>
      <w:keepNext/>
      <w:jc w:val="both"/>
      <w:outlineLvl w:val="0"/>
    </w:pPr>
    <w:rPr>
      <w:sz w:val="32"/>
    </w:rPr>
  </w:style>
  <w:style w:type="paragraph" w:styleId="Heading3">
    <w:name w:val="heading 3"/>
    <w:basedOn w:val="Normal"/>
    <w:next w:val="Normal"/>
    <w:link w:val="Heading3Char"/>
    <w:qFormat/>
    <w:rsid w:val="00BD4FAB"/>
    <w:pPr>
      <w:keepNext/>
      <w:ind w:left="720" w:firstLine="720"/>
      <w:jc w:val="both"/>
      <w:outlineLvl w:val="2"/>
    </w:pPr>
  </w:style>
  <w:style w:type="paragraph" w:styleId="Heading5">
    <w:name w:val="heading 5"/>
    <w:basedOn w:val="Normal"/>
    <w:next w:val="Normal"/>
    <w:link w:val="Heading5Char"/>
    <w:qFormat/>
    <w:rsid w:val="00BD4FAB"/>
    <w:pPr>
      <w:keepNext/>
      <w:jc w:val="center"/>
      <w:outlineLvl w:val="4"/>
    </w:pPr>
    <w:rPr>
      <w:b/>
      <w:bCs/>
    </w:rPr>
  </w:style>
  <w:style w:type="paragraph" w:styleId="Heading9">
    <w:name w:val="heading 9"/>
    <w:basedOn w:val="Normal"/>
    <w:next w:val="Normal"/>
    <w:link w:val="Heading9Char"/>
    <w:qFormat/>
    <w:rsid w:val="00BD4FAB"/>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FAB"/>
    <w:rPr>
      <w:rFonts w:ascii="Times New Roman" w:eastAsia="Times New Roman" w:hAnsi="Times New Roman" w:cs="Times New Roman"/>
      <w:sz w:val="32"/>
      <w:szCs w:val="20"/>
    </w:rPr>
  </w:style>
  <w:style w:type="character" w:customStyle="1" w:styleId="Heading3Char">
    <w:name w:val="Heading 3 Char"/>
    <w:basedOn w:val="DefaultParagraphFont"/>
    <w:link w:val="Heading3"/>
    <w:rsid w:val="00BD4FA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BD4FAB"/>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BD4FAB"/>
    <w:rPr>
      <w:rFonts w:ascii="Times New Roman" w:eastAsia="Times New Roman" w:hAnsi="Times New Roman" w:cs="Times New Roman"/>
      <w:b/>
      <w:bCs/>
      <w:sz w:val="24"/>
      <w:szCs w:val="20"/>
    </w:rPr>
  </w:style>
  <w:style w:type="character" w:styleId="Hyperlink">
    <w:name w:val="Hyperlink"/>
    <w:basedOn w:val="DefaultParagraphFont"/>
    <w:rsid w:val="00BD4FAB"/>
    <w:rPr>
      <w:color w:val="0000FF"/>
      <w:u w:val="single"/>
    </w:rPr>
  </w:style>
  <w:style w:type="paragraph" w:styleId="Header">
    <w:name w:val="header"/>
    <w:basedOn w:val="Normal"/>
    <w:link w:val="HeaderChar"/>
    <w:rsid w:val="00BD4FAB"/>
    <w:pPr>
      <w:tabs>
        <w:tab w:val="center" w:pos="4320"/>
        <w:tab w:val="right" w:pos="8640"/>
      </w:tabs>
    </w:pPr>
  </w:style>
  <w:style w:type="character" w:customStyle="1" w:styleId="HeaderChar">
    <w:name w:val="Header Char"/>
    <w:basedOn w:val="DefaultParagraphFont"/>
    <w:link w:val="Header"/>
    <w:rsid w:val="00BD4FAB"/>
    <w:rPr>
      <w:rFonts w:ascii="Times New Roman" w:eastAsia="Times New Roman" w:hAnsi="Times New Roman" w:cs="Times New Roman"/>
      <w:sz w:val="24"/>
      <w:szCs w:val="20"/>
    </w:rPr>
  </w:style>
  <w:style w:type="paragraph" w:styleId="Footer">
    <w:name w:val="footer"/>
    <w:basedOn w:val="Normal"/>
    <w:link w:val="FooterChar"/>
    <w:rsid w:val="00BD4FAB"/>
    <w:pPr>
      <w:tabs>
        <w:tab w:val="center" w:pos="4320"/>
        <w:tab w:val="right" w:pos="8640"/>
      </w:tabs>
    </w:pPr>
  </w:style>
  <w:style w:type="character" w:customStyle="1" w:styleId="FooterChar">
    <w:name w:val="Footer Char"/>
    <w:basedOn w:val="DefaultParagraphFont"/>
    <w:link w:val="Footer"/>
    <w:rsid w:val="00BD4FAB"/>
    <w:rPr>
      <w:rFonts w:ascii="Times New Roman" w:eastAsia="Times New Roman" w:hAnsi="Times New Roman" w:cs="Times New Roman"/>
      <w:sz w:val="24"/>
      <w:szCs w:val="20"/>
    </w:rPr>
  </w:style>
  <w:style w:type="character" w:styleId="PageNumber">
    <w:name w:val="page number"/>
    <w:basedOn w:val="DefaultParagraphFont"/>
    <w:rsid w:val="00BD4FAB"/>
  </w:style>
  <w:style w:type="paragraph" w:styleId="ListParagraph">
    <w:name w:val="List Paragraph"/>
    <w:basedOn w:val="Normal"/>
    <w:uiPriority w:val="34"/>
    <w:qFormat/>
    <w:rsid w:val="00BD4FAB"/>
    <w:pPr>
      <w:ind w:left="720"/>
    </w:pPr>
  </w:style>
  <w:style w:type="paragraph" w:styleId="NormalWeb">
    <w:name w:val="Normal (Web)"/>
    <w:basedOn w:val="Normal"/>
    <w:uiPriority w:val="99"/>
    <w:unhideWhenUsed/>
    <w:rsid w:val="00BD4FAB"/>
    <w:pPr>
      <w:spacing w:before="100" w:beforeAutospacing="1" w:after="100" w:afterAutospacing="1"/>
    </w:pPr>
    <w:rPr>
      <w:rFonts w:eastAsiaTheme="minorEastAsia"/>
      <w:szCs w:val="24"/>
    </w:rPr>
  </w:style>
  <w:style w:type="paragraph" w:styleId="BalloonText">
    <w:name w:val="Balloon Text"/>
    <w:basedOn w:val="Normal"/>
    <w:link w:val="BalloonTextChar"/>
    <w:uiPriority w:val="99"/>
    <w:semiHidden/>
    <w:unhideWhenUsed/>
    <w:rsid w:val="00BD4FAB"/>
    <w:rPr>
      <w:rFonts w:ascii="Tahoma" w:hAnsi="Tahoma" w:cs="Tahoma"/>
      <w:sz w:val="16"/>
      <w:szCs w:val="16"/>
    </w:rPr>
  </w:style>
  <w:style w:type="character" w:customStyle="1" w:styleId="BalloonTextChar">
    <w:name w:val="Balloon Text Char"/>
    <w:basedOn w:val="DefaultParagraphFont"/>
    <w:link w:val="BalloonText"/>
    <w:uiPriority w:val="99"/>
    <w:semiHidden/>
    <w:rsid w:val="00BD4FA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4FAB"/>
    <w:rPr>
      <w:sz w:val="16"/>
      <w:szCs w:val="16"/>
    </w:rPr>
  </w:style>
  <w:style w:type="paragraph" w:styleId="CommentText">
    <w:name w:val="annotation text"/>
    <w:basedOn w:val="Normal"/>
    <w:link w:val="CommentTextChar"/>
    <w:uiPriority w:val="99"/>
    <w:semiHidden/>
    <w:unhideWhenUsed/>
    <w:rsid w:val="00BD4FAB"/>
    <w:rPr>
      <w:sz w:val="20"/>
    </w:rPr>
  </w:style>
  <w:style w:type="character" w:customStyle="1" w:styleId="CommentTextChar">
    <w:name w:val="Comment Text Char"/>
    <w:basedOn w:val="DefaultParagraphFont"/>
    <w:link w:val="CommentText"/>
    <w:uiPriority w:val="99"/>
    <w:semiHidden/>
    <w:rsid w:val="00BD4F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FAB"/>
    <w:rPr>
      <w:b/>
      <w:bCs/>
    </w:rPr>
  </w:style>
  <w:style w:type="character" w:customStyle="1" w:styleId="CommentSubjectChar">
    <w:name w:val="Comment Subject Char"/>
    <w:basedOn w:val="CommentTextChar"/>
    <w:link w:val="CommentSubject"/>
    <w:uiPriority w:val="99"/>
    <w:semiHidden/>
    <w:rsid w:val="00BD4FA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07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3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1d8cf0a2-72f5-4b2e-b0d2-4cff302af152">QMSID-22-8724</_dlc_DocId>
    <_dlc_DocIdUrl xmlns="1d8cf0a2-72f5-4b2e-b0d2-4cff302af152">
      <Url>https://apps.usace.army.mil/sites/QMS/DC/_layouts/DocIdRedir.aspx?ID=QMSID-22-8724</Url>
      <Description>QMSID-22-8724</Description>
    </_dlc_DocIdUrl>
    <TaxCatchAll xmlns="1d8cf0a2-72f5-4b2e-b0d2-4cff302af152">
      <Value>1072</Value>
      <Value>1075</Value>
      <Value>1074</Value>
      <Value>6</Value>
      <Value>1073</Value>
      <Value>1991</Value>
    </TaxCatchAll>
    <KpiDescription xmlns="http://schemas.microsoft.com/sharepoint/v3">• Account for lost, damaged or destroyed property
• Serves as a voucher for adjusting property from accountable records
• Assesses financial liability against an individual
• Provides relief from financial liability
</KpiDescription>
    <TaxKeywordTaxHTField xmlns="1d8cf0a2-72f5-4b2e-b0d2-4cff302af152">
      <Terms xmlns="http://schemas.microsoft.com/office/infopath/2007/PartnerControls">
        <TermInfo xmlns="http://schemas.microsoft.com/office/infopath/2007/PartnerControls">
          <TermName xmlns="http://schemas.microsoft.com/office/infopath/2007/PartnerControls">Financial</TermName>
          <TermId xmlns="http://schemas.microsoft.com/office/infopath/2007/PartnerControls">e4d5cb1b-b2a2-4f95-9151-105f1d5620c8</TermId>
        </TermInfo>
        <TermInfo xmlns="http://schemas.microsoft.com/office/infopath/2007/PartnerControls">
          <TermName xmlns="http://schemas.microsoft.com/office/infopath/2007/PartnerControls">FLIPL</TermName>
          <TermId xmlns="http://schemas.microsoft.com/office/infopath/2007/PartnerControls">c5159ea6-0d8d-4727-8983-c63c06a53880</TermId>
        </TermInfo>
        <TermInfo xmlns="http://schemas.microsoft.com/office/infopath/2007/PartnerControls">
          <TermName xmlns="http://schemas.microsoft.com/office/infopath/2007/PartnerControls">Liability</TermName>
          <TermId xmlns="http://schemas.microsoft.com/office/infopath/2007/PartnerControls">2c992efc-7d02-448c-bdb6-1e0b28f48ba7</TermId>
        </TermInfo>
        <TermInfo xmlns="http://schemas.microsoft.com/office/infopath/2007/PartnerControls">
          <TermName xmlns="http://schemas.microsoft.com/office/infopath/2007/PartnerControls">FLIPL Logistics</TermName>
          <TermId xmlns="http://schemas.microsoft.com/office/infopath/2007/PartnerControls">d2044083-d6ee-4607-a171-01249f4b9a45</TermId>
        </TermInfo>
      </Terms>
    </TaxKeywordTaxHTField>
    <LeadAuthor xmlns="1d8cf0a2-72f5-4b2e-b0d2-4cff302af152">
      <UserInfo>
        <DisplayName>Zapata, Antonio A ULA@LAC</DisplayName>
        <AccountId>1382</AccountId>
        <AccountType/>
      </UserInfo>
    </LeadAuthor>
    <UserDef1 xmlns="1d8cf0a2-72f5-4b2e-b0d2-4cff302af152" xsi:nil="true"/>
    <Characteristics xmlns="1d8cf0a2-72f5-4b2e-b0d2-4cff302af152">
      <Value>Key Process</Value>
    </Characteristics>
    <LeadAuthorOfcSym xmlns="1d8cf0a2-72f5-4b2e-b0d2-4cff302af152">CELA-SMD</LeadAuthorOfcSym>
    <UserDef2 xmlns="1d8cf0a2-72f5-4b2e-b0d2-4cff302af152" xsi:nil="true"/>
    <AuthorTeam xmlns="1d8cf0a2-72f5-4b2e-b0d2-4cff302af152">
      <UserInfo>
        <DisplayName>i:0#.w|mvd\t0ulazdr</DisplayName>
        <AccountId>1377</AccountId>
        <AccountType/>
      </UserInfo>
    </AuthorTeam>
    <ApprovalAuthority xmlns="1d8cf0a2-72f5-4b2e-b0d2-4cff302af152">
      <UserInfo>
        <DisplayName>Gosciewski, Robert L ULA@LAC</DisplayName>
        <AccountId>8579</AccountId>
        <AccountType/>
      </UserInfo>
    </ApprovalAuthority>
    <UserDef3 xmlns="1d8cf0a2-72f5-4b2e-b0d2-4cff302af152" xsi:nil="true"/>
    <fb60be51899a4dd5b0528c7924231087 xmlns="1d8cf0a2-72f5-4b2e-b0d2-4cff302af152">
      <Terms xmlns="http://schemas.microsoft.com/office/infopath/2007/PartnerControls"/>
    </fb60be51899a4dd5b0528c7924231087>
    <Validated xmlns="1d8cf0a2-72f5-4b2e-b0d2-4cff302af152">true</Validated>
    <ISOStdParaNum xmlns="1d8cf0a2-72f5-4b2e-b0d2-4cff302af152"/>
    <OtherFunctions xmlns="1d8cf0a2-72f5-4b2e-b0d2-4cff302af152" xsi:nil="true"/>
    <PrimaryFunction xmlns="1d8cf0a2-72f5-4b2e-b0d2-4cff302af152">29000 Logistics</PrimaryFunction>
    <PMBPLink xmlns="1d8cf0a2-72f5-4b2e-b0d2-4cff302af152"/>
    <PUBStatus xmlns="1d8cf0a2-72f5-4b2e-b0d2-4cff302af152">Published</PUBStatus>
    <E2EBPLink xmlns="1d8cf0a2-72f5-4b2e-b0d2-4cff302af152"/>
    <o31bc9aaa7f148a5aa81d1ab36293ebd xmlns="1d8cf0a2-72f5-4b2e-b0d2-4cff302af152">
      <Terms xmlns="http://schemas.microsoft.com/office/infopath/2007/PartnerControls">
        <TermInfo xmlns="http://schemas.microsoft.com/office/infopath/2007/PartnerControls">
          <TermName xmlns="http://schemas.microsoft.com/office/infopath/2007/PartnerControls">HQ - USACE</TermName>
          <TermId xmlns="http://schemas.microsoft.com/office/infopath/2007/PartnerControls">18c0fc6a-71cd-4ff6-8a29-ea6027f19725</TermId>
        </TermInfo>
      </Terms>
    </o31bc9aaa7f148a5aa81d1ab36293ebd>
  </documentManagement>
</p:properties>
</file>

<file path=customXml/item3.xml><?xml version="1.0" encoding="utf-8"?>
<ct:contentTypeSchema xmlns:ct="http://schemas.microsoft.com/office/2006/metadata/contentType" xmlns:ma="http://schemas.microsoft.com/office/2006/metadata/properties/metaAttributes" ct:_="" ma:_="" ma:contentTypeName="QMSDocument" ma:contentTypeID="0x010100B0362A94A7FF8E48A243515F0BF53D77004712BFB0398CCC4EBCEF895510330C3D" ma:contentTypeVersion="62" ma:contentTypeDescription="Site Level Content Type: Regular QMS Documents.  These are not processes and are not subject to audit." ma:contentTypeScope="" ma:versionID="fb1e8b194aacd129e4ec3f1609c1e442">
  <xsd:schema xmlns:xsd="http://www.w3.org/2001/XMLSchema" xmlns:xs="http://www.w3.org/2001/XMLSchema" xmlns:p="http://schemas.microsoft.com/office/2006/metadata/properties" xmlns:ns1="http://schemas.microsoft.com/sharepoint/v3" xmlns:ns2="1d8cf0a2-72f5-4b2e-b0d2-4cff302af152" targetNamespace="http://schemas.microsoft.com/office/2006/metadata/properties" ma:root="true" ma:fieldsID="2541ab600149739648bbacf22888efb9" ns1:_="" ns2:_="">
    <xsd:import namespace="http://schemas.microsoft.com/sharepoint/v3"/>
    <xsd:import namespace="1d8cf0a2-72f5-4b2e-b0d2-4cff302af152"/>
    <xsd:element name="properties">
      <xsd:complexType>
        <xsd:sequence>
          <xsd:element name="documentManagement">
            <xsd:complexType>
              <xsd:all>
                <xsd:element ref="ns1:KpiDescription" minOccurs="0"/>
                <xsd:element ref="ns2:PUBStatus" minOccurs="0"/>
                <xsd:element ref="ns2:PrimaryFunction" minOccurs="0"/>
                <xsd:element ref="ns2:ApprovalAuthority"/>
                <xsd:element ref="ns2:LeadAuthor"/>
                <xsd:element ref="ns2:LeadAuthorOfcSym" minOccurs="0"/>
                <xsd:element ref="ns2:AuthorTeam" minOccurs="0"/>
                <xsd:element ref="ns2:OtherFunctions" minOccurs="0"/>
                <xsd:element ref="ns2:PMBPLink" minOccurs="0"/>
                <xsd:element ref="ns2:E2EBPLink" minOccurs="0"/>
                <xsd:element ref="ns2:Characteristics" minOccurs="0"/>
                <xsd:element ref="ns2:ISOStdParaNum" minOccurs="0"/>
                <xsd:element ref="ns2:UserDef1" minOccurs="0"/>
                <xsd:element ref="ns2:UserDef2" minOccurs="0"/>
                <xsd:element ref="ns2:UserDef3" minOccurs="0"/>
                <xsd:element ref="ns2:Validated" minOccurs="0"/>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2:o31bc9aaa7f148a5aa81d1ab36293ebd" minOccurs="0"/>
                <xsd:element ref="ns2:fb60be51899a4dd5b0528c792423108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ultiLine)"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cf0a2-72f5-4b2e-b0d2-4cff302af152" elementFormDefault="qualified">
    <xsd:import namespace="http://schemas.microsoft.com/office/2006/documentManagement/types"/>
    <xsd:import namespace="http://schemas.microsoft.com/office/infopath/2007/PartnerControls"/>
    <xsd:element name="PUBStatus" ma:index="4" nillable="true" ma:displayName="PUBStatus" ma:default="Draft" ma:description="The publication status of the document.  The default value is Draft. Definitions of the choices follow:&#10;   Published - The document has been reviewed, approved for publication by the Approval Authority, and is made available through USACE QMS.&#10;   Draft - The document is available for review in USACE QMS, but has not yet been approved by the Approval Authority and is thus only considered to be a Draft.&#10;   Archived - The document is no longer considered Published or Draft, but is retained in USACE QMS for historical or reference purposes.&#10;" ma:format="Dropdown" ma:indexed="true" ma:internalName="PUBStatus0">
      <xsd:simpleType>
        <xsd:restriction base="dms:Choice">
          <xsd:enumeration value="Draft"/>
          <xsd:enumeration value="Published"/>
          <xsd:enumeration value="Archived"/>
        </xsd:restriction>
      </xsd:simpleType>
    </xsd:element>
    <xsd:element name="PrimaryFunction" ma:index="5" nillable="true" ma:displayName="PrimaryFunction" ma:description="The primary function described in the document content. For most documents the primary function and proponent of the document are the same function (e.g., an engineering design document). However, on occasion, a QMSFunction may differ from the document proponent (e.g., a training document for engineering credits.)  A pre-defined list of functions is used for USACE-wide consistency. (See &quot;Table 2. QMSFunction Choice Options”.)" ma:format="Dropdown" ma:indexed="true" ma:internalName="PrimaryFunction0">
      <xsd:simpleType>
        <xsd:restriction base="dms:Choice">
          <xsd:enumeration value="01000 Program/Project Initiation Phase"/>
          <xsd:enumeration value="02000 Program/Project Planning Phase"/>
          <xsd:enumeration value="03000 Program/Project Execution &amp; Control Phase"/>
          <xsd:enumeration value="04000 Program/Project Closeout Phase"/>
          <xsd:enumeration value="05000 PMBP References"/>
          <xsd:enumeration value="06000 Prog Specific – Civil Works"/>
          <xsd:enumeration value="06000 Prog Specific – Contingency Operations"/>
          <xsd:enumeration value="06000 Prog Specific – Interagency &amp; International Support"/>
          <xsd:enumeration value="06000 Prog Specific – Research &amp; Development"/>
          <xsd:enumeration value="07000 Prog Specific – Military"/>
          <xsd:enumeration value="07000 Prog Specific – Environmental"/>
          <xsd:enumeration value="07000 Prog Specific – Installation Support"/>
          <xsd:enumeration value="08000 Engineering and Construction"/>
          <xsd:enumeration value="11000 Resource Management"/>
          <xsd:enumeration value="12000 Regulatory"/>
          <xsd:enumeration value="13000 Operations"/>
          <xsd:enumeration value="14000 Planning (economic analysis, studies, etc.)"/>
          <xsd:enumeration value="15000 Real Estate (acquisition, relocation, disposal)"/>
          <xsd:enumeration value="16000 Safety and Occupational Health"/>
          <xsd:enumeration value="17000 Legal Services"/>
          <xsd:enumeration value="18000 Contracting (acquisition and management)"/>
          <xsd:enumeration value="19000 Emergency Operations and Management"/>
          <xsd:enumeration value="20000 HQUSACE Specific"/>
          <xsd:enumeration value="21000 Command and Control"/>
          <xsd:enumeration value="22000 Quality Control or Assurance"/>
          <xsd:enumeration value="23000 Strategic Management"/>
          <xsd:enumeration value="24000 Regional Business and Interface"/>
          <xsd:enumeration value="25000 Programs and Project Management"/>
          <xsd:enumeration value="27000 Human Resources"/>
          <xsd:enumeration value="28000 Public Affairs (including history)"/>
          <xsd:enumeration value="29000 Logistics"/>
          <xsd:enumeration value="30000 Information Management/ Technology (incl library services)"/>
          <xsd:enumeration value="31000 Administration, Internal Operations, Organizational"/>
          <xsd:enumeration value="32000 Training"/>
          <xsd:enumeration value="33000 Knowledge Management (lessons learned, after action reviews, continuity books, etc.)"/>
          <xsd:enumeration value="34000 Security, Intelligence, or Law Enforcement"/>
          <xsd:enumeration value="35000 Internal Review"/>
          <xsd:enumeration value="36000 Equal Employment Opportunity (EEO)"/>
          <xsd:enumeration value="38000 Tribal Nations"/>
          <xsd:enumeration value="40000 Other"/>
          <xsd:enumeration value="QMS Administration and Operation"/>
        </xsd:restriction>
      </xsd:simpleType>
    </xsd:element>
    <xsd:element name="ApprovalAuthority" ma:index="6" ma:displayName="ApprovalAuthority" ma:description="The name of the PERSON with the authority to publish a document which causes the workforce to use and follow the information contained within the document. The name is selected from the USACE Global Address List. A SharePoint workflow will route documents to these people for authority to publish the document." ma:indexed="true" ma:list="UserInfo" ma:SharePointGroup="0" ma:internalName="ApprovalAuthorit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eadAuthor" ma:index="7" ma:displayName="LeadAuthor" ma:description="The name of the PERSON with the overall responsibility to develop, write, edit, and/or revise the document.  This person is typically a member of the primary Function or Program proponent and serves as the primary point of contact for the document content and comments.  This field will appear in most QMS views. The name is selected from the USACE Global Address List. A SharePoint workflow will initiate the document approval procedure through this person prior to obtaining approval to publish the document from the Approval Authority." ma:indexed="true" ma:list="UserInfo" ma:SharePointGroup="0" ma:internalName="Lead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eadAuthorOfcSym" ma:index="8" nillable="true" ma:displayName="LeadAuthorOfcSym" ma:description="The office symbol of the Lead Author, the person with the overall responsibility to develop, write, edit, and/or revise the document." ma:internalName="LeadAuthorOfcSym">
      <xsd:simpleType>
        <xsd:restriction base="dms:Text">
          <xsd:maxLength value="255"/>
        </xsd:restriction>
      </xsd:simpleType>
    </xsd:element>
    <xsd:element name="AuthorTeam" ma:index="9" nillable="true" ma:displayName="AuthorTeam" ma:description="The names of all persons who assist the Lead Author develop, write, edit, and/or revise the document.  The names or groups are selected from the USACE Global Address List. This field will appear in some QMS views to enable users to see who was involved with the authoring of this document." ma:list="UserInfo" ma:SearchPeopleOnly="false" ma:SharePointGroup="0" ma:internalName="Author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Functions" ma:index="10" nillable="true" ma:displayName="OtherFunctions" ma:description="Functions, other than the primary functional proponent as indicated in QMSFunction, described within the document. They may be functions involved in, impacted by, or otherwise affected by the information contained within the document. A pre-defined list of functions is used for USACE-wide consistency. There is no default value.  (See &quot;Table 2. QMSFunction Choice Options&quot; for a list of pre-defined values.)" ma:internalName="OtherFunctions0">
      <xsd:complexType>
        <xsd:complexContent>
          <xsd:extension base="dms:MultiChoice">
            <xsd:sequence>
              <xsd:element name="Value" maxOccurs="unbounded" minOccurs="0" nillable="true">
                <xsd:simpleType>
                  <xsd:restriction base="dms:Choice">
                    <xsd:enumeration value="01000 Program/Project Initiation Phase"/>
                    <xsd:enumeration value="02000 Program/Project Planning Phase"/>
                    <xsd:enumeration value="03000 Program/Project Execution &amp; Control Phase"/>
                    <xsd:enumeration value="04000 Program/Project Closeout Phase"/>
                    <xsd:enumeration value="05000 PMBP References"/>
                    <xsd:enumeration value="06000 Prog Specific – Civil Works"/>
                    <xsd:enumeration value="06000 Prog Specific – Contingency Operations"/>
                    <xsd:enumeration value="06000 Prog Specific – Interagency &amp; International Support"/>
                    <xsd:enumeration value="06000 Prog Specific – Research &amp; Development"/>
                    <xsd:enumeration value="07000 Prog Specific – Military"/>
                    <xsd:enumeration value="07000 Prog Specific – Environmental"/>
                    <xsd:enumeration value="07000 Prog Specific – Installation Support"/>
                    <xsd:enumeration value="08000 Engineering"/>
                    <xsd:enumeration value="08000 Construction"/>
                    <xsd:enumeration value="11000 Resource Management"/>
                    <xsd:enumeration value="12000 Regulatory"/>
                    <xsd:enumeration value="13000 Operations"/>
                    <xsd:enumeration value="14000 Planning (economic analysis, studies, etc.)"/>
                    <xsd:enumeration value="15000 Real Estate (acquisition, relocation, disposal)"/>
                    <xsd:enumeration value="16000 Safety and Occupational Health"/>
                    <xsd:enumeration value="17000 Legal Services"/>
                    <xsd:enumeration value="18000 Contracting (acquisition and management)"/>
                    <xsd:enumeration value="19000 Emergency Operations and Management"/>
                    <xsd:enumeration value="20000 HQUSACE Specific"/>
                    <xsd:enumeration value="21000 Command and Control"/>
                    <xsd:enumeration value="22000 Quality Control or Assurance"/>
                    <xsd:enumeration value="23000 Strategic Management"/>
                    <xsd:enumeration value="24000 Regional Business and Interface"/>
                    <xsd:enumeration value="25000 Programs and Project Management"/>
                    <xsd:enumeration value="27000 Human Resources"/>
                    <xsd:enumeration value="28000 Public Affairs (including history)"/>
                    <xsd:enumeration value="29000 Logistics"/>
                    <xsd:enumeration value="30000 Information Management/ Technology (incl library services)"/>
                    <xsd:enumeration value="31000 Administration, Internal Operations, Organizational"/>
                    <xsd:enumeration value="32000 Training"/>
                    <xsd:enumeration value="33000 Knowledge Management (lessons learned, after action reviews, continuity books, etc.)"/>
                    <xsd:enumeration value="34000 Security, Intelligence, or Law Enforcement"/>
                    <xsd:enumeration value="35000 Internal Review"/>
                    <xsd:enumeration value="36000 Equal Employment Opportunity (EEO)"/>
                    <xsd:enumeration value="38000 Tribal Nations"/>
                    <xsd:enumeration value="40000 Other"/>
                    <xsd:enumeration value="QMS Administration and Operation"/>
                  </xsd:restriction>
                </xsd:simpleType>
              </xsd:element>
            </xsd:sequence>
          </xsd:extension>
        </xsd:complexContent>
      </xsd:complexType>
    </xsd:element>
    <xsd:element name="PMBPLink" ma:index="12" nillable="true" ma:displayName="PMBPLink" ma:description="Provides linkages between the document content and one or more PMBP processes supported by the document. There is no default value." ma:internalName="PMBPLink0">
      <xsd:complexType>
        <xsd:complexContent>
          <xsd:extension base="dms:MultiChoice">
            <xsd:sequence>
              <xsd:element name="Value" maxOccurs="unbounded" minOccurs="0" nillable="true">
                <xsd:simpleType>
                  <xsd:restriction base="dms:Choice">
                    <xsd:enumeration value="PROC1000  Work Acceptance"/>
                    <xsd:enumeration value="PROC2000  PMP/PgMP Development"/>
                    <xsd:enumeration value="PROC3000  Project Execution and Control"/>
                    <xsd:enumeration value="PROC4000  Activity/Project/Program Closeout"/>
                    <xsd:enumeration value="PMBP Reference"/>
                  </xsd:restriction>
                </xsd:simpleType>
              </xsd:element>
            </xsd:sequence>
          </xsd:extension>
        </xsd:complexContent>
      </xsd:complexType>
    </xsd:element>
    <xsd:element name="E2EBPLink" ma:index="13" nillable="true" ma:displayName="E2EBPLink" ma:description="Provides linkages between the document and one or more USACE End-to-End Business Processes (E2EBPs) supported by the document. A pre-defined list of USACE E2EBPs is used for USACE-wide consistency. There is no default value. Note: Choice options will be added as E2E BPs are defined." ma:internalName="E2EBPLink0">
      <xsd:complexType>
        <xsd:complexContent>
          <xsd:extension base="dms:MultiChoice">
            <xsd:sequence>
              <xsd:element name="Value" maxOccurs="unbounded" minOccurs="0" nillable="true">
                <xsd:simpleType>
                  <xsd:restriction base="dms:Choice">
                    <xsd:enumeration value="Choice 1"/>
                    <xsd:enumeration value="Choice 2"/>
                    <xsd:enumeration value="Choice 3"/>
                  </xsd:restriction>
                </xsd:simpleType>
              </xsd:element>
            </xsd:sequence>
          </xsd:extension>
        </xsd:complexContent>
      </xsd:complexType>
    </xsd:element>
    <xsd:element name="Characteristics" ma:index="14" nillable="true" ma:displayName="Characteristics" ma:description="This metadata field captures the following characteristics of the document as defined below. There is no default value. Definition of choices follow:&#10;   Supplement - The document provides supplemental information to an Enterprise Standard (ES) to address local or unique requirements.&#10;   Attachment - The document is an attachment to another &quot;primary&quot; document contained within USACE QMS.&#10;   Key Process - The Approval Authority or other appropriate proponent has determined this document to be a key process at the level of the document proponent. Refer to Appendix A of this document for a definition of Key Processes.&#10;   Best Practice - The Approval Authority or other appropriate proponent has determined the content of this document to be a best practice at the level of the document proponent." ma:internalName="Characteristics">
      <xsd:complexType>
        <xsd:complexContent>
          <xsd:extension base="dms:MultiChoice">
            <xsd:sequence>
              <xsd:element name="Value" maxOccurs="unbounded" minOccurs="0" nillable="true">
                <xsd:simpleType>
                  <xsd:restriction base="dms:Choice">
                    <xsd:enumeration value="Supplement"/>
                    <xsd:enumeration value="Attachment"/>
                    <xsd:enumeration value="Key Process"/>
                    <xsd:enumeration value="Best Practice"/>
                  </xsd:restriction>
                </xsd:simpleType>
              </xsd:element>
            </xsd:sequence>
          </xsd:extension>
        </xsd:complexContent>
      </xsd:complexType>
    </xsd:element>
    <xsd:element name="ISOStdParaNum" ma:index="15" nillable="true" ma:displayName="ISOStdParaNum" ma:description="This field associates the purpose and content of a document with the applicable paragraph(s) within ISO 9001:2008 Quality Management System Requirements.  It is often used (though not exclusively) by ISO certified organizations to facilitate certification and auditing or assessing efforts. (See &quot;Table 4. ISO 9001:2008 Standard Paragraph Numbers” for a list of pre-defined values.)" ma:internalName="ISOStdParaNum0">
      <xsd:complexType>
        <xsd:complexContent>
          <xsd:extension base="dms:MultiChoice">
            <xsd:sequence>
              <xsd:element name="Value" maxOccurs="unbounded" minOccurs="0" nillable="true">
                <xsd:simpleType>
                  <xsd:restriction base="dms:Choice">
                    <xsd:enumeration value="4 Quality Management System"/>
                    <xsd:enumeration value="4.1 General Requirements"/>
                    <xsd:enumeration value="4.2 Documentation requirements"/>
                    <xsd:enumeration value="4.2.1 General"/>
                    <xsd:enumeration value="4.2.2 Quality manual"/>
                    <xsd:enumeration value="4.2.3 Control of documents"/>
                    <xsd:enumeration value="4.2.4 Control of records"/>
                    <xsd:enumeration value="5 Management responsibility"/>
                    <xsd:enumeration value="5.1 Management commitment"/>
                    <xsd:enumeration value="5.2 Customer focus"/>
                    <xsd:enumeration value="5.3 Quality policy"/>
                    <xsd:enumeration value="5.4 Planning"/>
                    <xsd:enumeration value="5.4.1 Quality objectives"/>
                    <xsd:enumeration value="5.4.2 Quality management system planning"/>
                    <xsd:enumeration value="5.5 Responsibility, authority and communication"/>
                    <xsd:enumeration value="5.5.1 Responsibility and authority"/>
                    <xsd:enumeration value="5.5.2 Management representative"/>
                    <xsd:enumeration value="5.5.3 Internal communications"/>
                    <xsd:enumeration value="5.6 Management reviews"/>
                    <xsd:enumeration value="5.6.1 General"/>
                    <xsd:enumeration value="5.6.2 Review input"/>
                    <xsd:enumeration value="5.6.3 Review output"/>
                    <xsd:enumeration value="6 Resource management"/>
                    <xsd:enumeration value="6.1 Provision of resource"/>
                    <xsd:enumeration value="6.2 Human resources"/>
                    <xsd:enumeration value="6.2.1 Competence, awareness and training"/>
                    <xsd:enumeration value="6.3 Infrastructure"/>
                    <xsd:enumeration value="6.4 Work environment"/>
                    <xsd:enumeration value="7 Product realization"/>
                    <xsd:enumeration value="7.1 Planning of product realization"/>
                    <xsd:enumeration value="7.2 Customer-related processes"/>
                    <xsd:enumeration value="7.2.1 Determination of requirements related to the product"/>
                    <xsd:enumeration value="7.2.2 Review of requirements related to the product"/>
                    <xsd:enumeration value="7.2.3 Customer communications"/>
                    <xsd:enumeration value="7.3 Design and development"/>
                    <xsd:enumeration value="7.3.1 Design and development planning"/>
                    <xsd:enumeration value="7.3.2 Design and development inputs"/>
                    <xsd:enumeration value="7.3.3 Design and development outputs"/>
                    <xsd:enumeration value="7.3.4 Design and development review"/>
                    <xsd:enumeration value="7.3.5 Design and development verification"/>
                    <xsd:enumeration value="7.3.6 Design and development validation"/>
                    <xsd:enumeration value="7.3.7 Control of design and development changes"/>
                    <xsd:enumeration value="7.4 Purchasing"/>
                    <xsd:enumeration value="7.4.1 Purchasing process"/>
                    <xsd:enumeration value="7.4.2 Purchasing information"/>
                    <xsd:enumeration value="7.4.3 Verification of purchased products"/>
                    <xsd:enumeration value="7.5 Production and service provision"/>
                    <xsd:enumeration value="7.5.1 Control of production and service provision"/>
                    <xsd:enumeration value="7.5.2 Validation of processes for production and service provision"/>
                    <xsd:enumeration value="7.5.3 Identification and traceability"/>
                    <xsd:enumeration value="7.5.4 Customer property"/>
                    <xsd:enumeration value="7.5.5 Preservation of product"/>
                    <xsd:enumeration value="7.6 Control of monitoring and measuring devices"/>
                    <xsd:enumeration value="8 Measurement, analysis and improvement"/>
                    <xsd:enumeration value="8.1 General"/>
                    <xsd:enumeration value="8.2 Monitoring and measurement"/>
                    <xsd:enumeration value="8.2.1 Customer satisfaction"/>
                    <xsd:enumeration value="8.2.2 Internal audit"/>
                    <xsd:enumeration value="8.2.3 Monitoring and measurement of processes"/>
                    <xsd:enumeration value="8.2.4 Monitoring and measurement of product"/>
                    <xsd:enumeration value="8.3 Control of nonconforming products"/>
                    <xsd:enumeration value="8.4 Analysis of data"/>
                    <xsd:enumeration value="8.5 Improvement"/>
                    <xsd:enumeration value="8.5.1 Continual improvement"/>
                    <xsd:enumeration value="8.5.2 Corrective action"/>
                    <xsd:enumeration value="8.5.3 Preventative action"/>
                  </xsd:restriction>
                </xsd:simpleType>
              </xsd:element>
            </xsd:sequence>
          </xsd:extension>
        </xsd:complexContent>
      </xsd:complexType>
    </xsd:element>
    <xsd:element name="UserDef1" ma:index="17" nillable="true" ma:displayName="UserDef1" ma:description="User definable field to assist USACE QMS administrators. It has NO USACE-WIDE DEFINITION. Furthermore, being of type Single Line of Text, this field will NOT appear in the Key Filters area." ma:internalName="UserDef1">
      <xsd:simpleType>
        <xsd:restriction base="dms:Text">
          <xsd:maxLength value="255"/>
        </xsd:restriction>
      </xsd:simpleType>
    </xsd:element>
    <xsd:element name="UserDef2" ma:index="18" nillable="true" ma:displayName="UserDef2" ma:description="User definable field to assist USACE QMS administrators. It has NO USACE-WIDE DEFINITION. Furthermore, being of type Single Line of Text, this field will NOT appear in the Key Filters area." ma:internalName="UserDef2">
      <xsd:simpleType>
        <xsd:restriction base="dms:Text">
          <xsd:maxLength value="255"/>
        </xsd:restriction>
      </xsd:simpleType>
    </xsd:element>
    <xsd:element name="UserDef3" ma:index="19" nillable="true" ma:displayName="UserDef3" ma:description="User definable field to assist USACE QMS administrators. It has NO USACE-WIDE DEFINITION. Furthermore, being of type Single Line of Text, this field will NOT appear in the Key Filters area." ma:internalName="UserDef3">
      <xsd:simpleType>
        <xsd:restriction base="dms:Text">
          <xsd:maxLength value="255"/>
        </xsd:restriction>
      </xsd:simpleType>
    </xsd:element>
    <xsd:element name="Validated" ma:index="20" nillable="true" ma:displayName="Validated" ma:default="0" ma:description="Check this box Yes if you have finished validating the metadata for this file." ma:internalName="Validated">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2cd086bc-50d0-49df-a9ad-ef80a56a28f2}" ma:internalName="TaxCatchAll" ma:showField="CatchAllData" ma:web="1d8cf0a2-72f5-4b2e-b0d2-4cff302af152">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2cd086bc-50d0-49df-a9ad-ef80a56a28f2}" ma:internalName="TaxCatchAllLabel" ma:readOnly="true" ma:showField="CatchAllDataLabel" ma:web="1d8cf0a2-72f5-4b2e-b0d2-4cff302af15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b35462ca-3cfc-4729-a31b-b49247c81c57" ma:termSetId="00000000-0000-0000-0000-000000000000" ma:anchorId="00000000-0000-0000-0000-000000000000" ma:open="true" ma:isKeyword="true">
      <xsd:complexType>
        <xsd:sequence>
          <xsd:element ref="pc:Terms" minOccurs="0" maxOccurs="1"/>
        </xsd:sequence>
      </xsd:complexType>
    </xsd:element>
    <xsd:element name="o31bc9aaa7f148a5aa81d1ab36293ebd" ma:index="30" nillable="true" ma:taxonomy="true" ma:internalName="o31bc9aaa7f148a5aa81d1ab36293ebd" ma:taxonomyFieldName="CMDLocation0" ma:displayName="CMDLocation" ma:indexed="true" ma:default="" ma:fieldId="{831bc9aa-a7f1-48a5-aa81-d1ab36293ebd}" ma:sspId="b35462ca-3cfc-4729-a31b-b49247c81c57" ma:termSetId="d6648ad3-0574-4db9-ada1-7ecb127b5486" ma:anchorId="00000000-0000-0000-0000-000000000000" ma:open="false" ma:isKeyword="false">
      <xsd:complexType>
        <xsd:sequence>
          <xsd:element ref="pc:Terms" minOccurs="0" maxOccurs="1"/>
        </xsd:sequence>
      </xsd:complexType>
    </xsd:element>
    <xsd:element name="fb60be51899a4dd5b0528c7924231087" ma:index="31" nillable="true" ma:taxonomy="true" ma:internalName="fb60be51899a4dd5b0528c7924231087" ma:taxonomyFieldName="SubFunctions0" ma:displayName="SubFunctions" ma:default="" ma:fieldId="{fb60be51-899a-4dd5-b052-8c7924231087}" ma:taxonomyMulti="true" ma:sspId="b35462ca-3cfc-4729-a31b-b49247c81c57" ma:termSetId="8f0337c5-5cf1-44ca-ad16-9047191949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B2C504-E073-490E-AB23-2D08ED6086D9}">
  <ds:schemaRefs>
    <ds:schemaRef ds:uri="http://schemas.microsoft.com/sharepoint/v3/contenttype/forms"/>
  </ds:schemaRefs>
</ds:datastoreItem>
</file>

<file path=customXml/itemProps2.xml><?xml version="1.0" encoding="utf-8"?>
<ds:datastoreItem xmlns:ds="http://schemas.openxmlformats.org/officeDocument/2006/customXml" ds:itemID="{9165C2B0-2351-4709-BDBA-877540C4119E}">
  <ds:schemaRefs>
    <ds:schemaRef ds:uri="http://schemas.microsoft.com/office/2006/metadata/properties"/>
    <ds:schemaRef ds:uri="1d8cf0a2-72f5-4b2e-b0d2-4cff302af152"/>
    <ds:schemaRef ds:uri="http://schemas.microsoft.com/sharepoint/v3"/>
    <ds:schemaRef ds:uri="http://schemas.microsoft.com/office/infopath/2007/PartnerControls"/>
  </ds:schemaRefs>
</ds:datastoreItem>
</file>

<file path=customXml/itemProps3.xml><?xml version="1.0" encoding="utf-8"?>
<ds:datastoreItem xmlns:ds="http://schemas.openxmlformats.org/officeDocument/2006/customXml" ds:itemID="{0D5762EF-293E-40FF-9684-8A3ADDB6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cf0a2-72f5-4b2e-b0d2-4cff302af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C593E-4289-408A-8D14-0B47EAF24E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29114 FLIPL BUSINESS PROCESS</vt:lpstr>
    </vt:vector>
  </TitlesOfParts>
  <Company>USACE</Company>
  <LinksUpToDate>false</LinksUpToDate>
  <CharactersWithSpaces>16052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29114 FLIPL BUSINESS PROCESS</dc:title>
  <dc:creator>Erin Juergend</dc:creator>
  <cp:keywords>FLIPL Logistics; Financial; FLIPL; Liability</cp:keywords>
  <cp:lastModifiedBy>AGM</cp:lastModifiedBy>
  <cp:revision>2</cp:revision>
  <cp:lastPrinted>2011-08-29T19:42:00Z</cp:lastPrinted>
  <dcterms:created xsi:type="dcterms:W3CDTF">2016-09-20T13:32:00Z</dcterms:created>
  <dcterms:modified xsi:type="dcterms:W3CDTF">2016-09-20T13:32:00Z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0x010100B0362A94A7FF8E48A243515F0BF53D77004712BFB0398CCC4EBCEF895510330C3D</vt:lpwstr>
  </property>
  <property fmtid="{D5CDD505-2E9C-101B-9397-08002B2CF9AE}" pid="3" name="Author0">
    <vt:lpwstr>Randolph, Zina D ULA@LAC54519</vt:lpwstr>
  </property>
  <property fmtid="{D5CDD505-2E9C-101B-9397-08002B2CF9AE}" pid="4" name="Subject Matter Expert (SME)">
    <vt:lpwstr/>
  </property>
  <property fmtid="{D5CDD505-2E9C-101B-9397-08002B2CF9AE}" pid="5" name="Order">
    <vt:r8>743400</vt:r8>
  </property>
  <property fmtid="{D5CDD505-2E9C-101B-9397-08002B2CF9AE}" pid="6" name="xd_ProgID">
    <vt:lpwstr/>
  </property>
  <property fmtid="{D5CDD505-2E9C-101B-9397-08002B2CF9AE}" pid="7" name="TemplateUrl">
    <vt:lpwstr/>
  </property>
  <property fmtid="{D5CDD505-2E9C-101B-9397-08002B2CF9AE}" pid="8" name="_dlc_DocIdItemGuid">
    <vt:lpwstr>b440a11a-c463-43e0-b8af-d500af76c156</vt:lpwstr>
  </property>
  <property fmtid="{D5CDD505-2E9C-101B-9397-08002B2CF9AE}" pid="9" name="ES Supplement ?">
    <vt:bool>false</vt:bool>
  </property>
  <property fmtid="{D5CDD505-2E9C-101B-9397-08002B2CF9AE}" pid="10" name="QMSLocation">
    <vt:lpwstr/>
  </property>
  <property fmtid="{D5CDD505-2E9C-101B-9397-08002B2CF9AE}" pid="11" name="CPI Initiative In Progress-?">
    <vt:lpwstr>Yes-CPI/LSS Project Completed</vt:lpwstr>
  </property>
  <property fmtid="{D5CDD505-2E9C-101B-9397-08002B2CF9AE}" pid="12" name="LegacyProcessLink">
    <vt:lpwstr>, </vt:lpwstr>
  </property>
  <property fmtid="{D5CDD505-2E9C-101B-9397-08002B2CF9AE}" pid="13" name="CPI Army PowerSteering Link">
    <vt:lpwstr>, </vt:lpwstr>
  </property>
  <property fmtid="{D5CDD505-2E9C-101B-9397-08002B2CF9AE}" pid="14" name="Process Reviewed Date">
    <vt:filetime>2011-09-01T04:00:00Z</vt:filetime>
  </property>
  <property fmtid="{D5CDD505-2E9C-101B-9397-08002B2CF9AE}" pid="15" name="QMS Status">
    <vt:lpwstr>Published</vt:lpwstr>
  </property>
  <property fmtid="{D5CDD505-2E9C-101B-9397-08002B2CF9AE}" pid="16" name="Key Process-?">
    <vt:bool>true</vt:bool>
  </property>
  <property fmtid="{D5CDD505-2E9C-101B-9397-08002B2CF9AE}" pid="17" name="Point of Contact">
    <vt:lpwstr>319</vt:lpwstr>
  </property>
  <property fmtid="{D5CDD505-2E9C-101B-9397-08002B2CF9AE}" pid="18" name="Best Practice">
    <vt:bool>true</vt:bool>
  </property>
  <property fmtid="{D5CDD505-2E9C-101B-9397-08002B2CF9AE}" pid="19" name="CPI Project Owner0">
    <vt:lpwstr/>
  </property>
  <property fmtid="{D5CDD505-2E9C-101B-9397-08002B2CF9AE}" pid="20" name="Attachment-?">
    <vt:bool>false</vt:bool>
  </property>
  <property fmtid="{D5CDD505-2E9C-101B-9397-08002B2CF9AE}" pid="21" name="CPI Project Owner">
    <vt:lpwstr>1382</vt:lpwstr>
  </property>
  <property fmtid="{D5CDD505-2E9C-101B-9397-08002B2CF9AE}" pid="22" name="Affected Offices">
    <vt:lpwstr>4;#Army Corps of Engineers Information Technology (ACE-IT);#116;#USACE Logistics Activity (ULA)</vt:lpwstr>
  </property>
  <property fmtid="{D5CDD505-2E9C-101B-9397-08002B2CF9AE}" pid="23" name="Affected Communities of Practice">
    <vt:lpwstr>2</vt:lpwstr>
  </property>
  <property fmtid="{D5CDD505-2E9C-101B-9397-08002B2CF9AE}" pid="24" name="QMSOffice">
    <vt:lpwstr>160</vt:lpwstr>
  </property>
  <property fmtid="{D5CDD505-2E9C-101B-9397-08002B2CF9AE}" pid="25" name="Author/Subject Matter Expert (SME) 2">
    <vt:lpwstr>1377</vt:lpwstr>
  </property>
  <property fmtid="{D5CDD505-2E9C-101B-9397-08002B2CF9AE}" pid="26" name="LSS/CPI date completed">
    <vt:filetime>2011-02-15T05:00:00Z</vt:filetime>
  </property>
  <property fmtid="{D5CDD505-2E9C-101B-9397-08002B2CF9AE}" pid="27" name="Primary Community of Practice">
    <vt:lpwstr>15</vt:lpwstr>
  </property>
  <property fmtid="{D5CDD505-2E9C-101B-9397-08002B2CF9AE}" pid="28" name="2nd Author">
    <vt:lpwstr>1382</vt:lpwstr>
  </property>
  <property fmtid="{D5CDD505-2E9C-101B-9397-08002B2CF9AE}" pid="29" name="LegacyProcess">
    <vt:bool>false</vt:bool>
  </property>
  <property fmtid="{D5CDD505-2E9C-101B-9397-08002B2CF9AE}" pid="30" name="Description0">
    <vt:lpwstr>•	Account for lost, damaged or destroyed property
•	Serves as a voucher for adjusting property from accountable records
•	Assesses financial liability against an individual
•	Provides relief from financial liability
</vt:lpwstr>
  </property>
  <property fmtid="{D5CDD505-2E9C-101B-9397-08002B2CF9AE}" pid="31" name="National Process Number">
    <vt:lpwstr>29</vt:lpwstr>
  </property>
  <property fmtid="{D5CDD505-2E9C-101B-9397-08002B2CF9AE}" pid="32" name="Process Type">
    <vt:lpwstr>3</vt:lpwstr>
  </property>
  <property fmtid="{D5CDD505-2E9C-101B-9397-08002B2CF9AE}" pid="33" name="Process Reviewd By">
    <vt:lpwstr/>
  </property>
  <property fmtid="{D5CDD505-2E9C-101B-9397-08002B2CF9AE}" pid="34" name="Advocate/Process Ownder">
    <vt:lpwstr>USACE Logistics Activity Supply Division Chief Tony Zapata</vt:lpwstr>
  </property>
  <property fmtid="{D5CDD505-2E9C-101B-9397-08002B2CF9AE}" pid="35" name="2nd Point of Contact">
    <vt:lpwstr>1862</vt:lpwstr>
  </property>
  <property fmtid="{D5CDD505-2E9C-101B-9397-08002B2CF9AE}" pid="36" name="DivDist">
    <vt:lpwstr/>
  </property>
  <property fmtid="{D5CDD505-2E9C-101B-9397-08002B2CF9AE}" pid="37" name="QMSLocation10">
    <vt:lpwstr/>
  </property>
  <property fmtid="{D5CDD505-2E9C-101B-9397-08002B2CF9AE}" pid="38" name="QMSMMDLocation">
    <vt:lpwstr/>
  </property>
  <property fmtid="{D5CDD505-2E9C-101B-9397-08002B2CF9AE}" pid="39" name="ISOStandardParagraphNumber">
    <vt:lpwstr/>
  </property>
  <property fmtid="{D5CDD505-2E9C-101B-9397-08002B2CF9AE}" pid="40" name="WorkflowChangePath">
    <vt:lpwstr>8cfb9772-7acc-4b47-9597-0f999df41b3f,21;8cfb9772-7acc-4b47-9597-0f999df41b3f,23;8cfb9772-7acc-4b47-9597-0f999df41b3f,25;</vt:lpwstr>
  </property>
  <property fmtid="{D5CDD505-2E9C-101B-9397-08002B2CF9AE}" pid="41" name="Special200">
    <vt:bool>false</vt:bool>
  </property>
  <property fmtid="{D5CDD505-2E9C-101B-9397-08002B2CF9AE}" pid="42" name="QMSLocation2">
    <vt:lpwstr>6;#HQ - USACE|18c0fc6a-71cd-4ff6-8a29-ea6027f19725</vt:lpwstr>
  </property>
  <property fmtid="{D5CDD505-2E9C-101B-9397-08002B2CF9AE}" pid="43" name="ConvToQMSMMD">
    <vt:lpwstr>HQ - USACE</vt:lpwstr>
  </property>
  <property fmtid="{D5CDD505-2E9C-101B-9397-08002B2CF9AE}" pid="44" name="QMSReference">
    <vt:bool>false</vt:bool>
  </property>
  <property fmtid="{D5CDD505-2E9C-101B-9397-08002B2CF9AE}" pid="45" name="District">
    <vt:lpwstr>HQ USACE</vt:lpwstr>
  </property>
  <property fmtid="{D5CDD505-2E9C-101B-9397-08002B2CF9AE}" pid="46" name="QMS Conversion Status">
    <vt:r8>1</vt:r8>
  </property>
  <property fmtid="{D5CDD505-2E9C-101B-9397-08002B2CF9AE}" pid="47" name="QMSLocation1">
    <vt:lpwstr>Div Level</vt:lpwstr>
  </property>
  <property fmtid="{D5CDD505-2E9C-101B-9397-08002B2CF9AE}" pid="48" name="KpiDescription">
    <vt:lpwstr>• Account for lost, damaged or destroyed property
• Serves as a voucher for adjusting property from accountable records
• Assesses financial liability against an individual
• Provides relief from financial liability
</vt:lpwstr>
  </property>
  <property fmtid="{D5CDD505-2E9C-101B-9397-08002B2CF9AE}" pid="49" name="_dlc_policyId">
    <vt:lpwstr/>
  </property>
  <property fmtid="{D5CDD505-2E9C-101B-9397-08002B2CF9AE}" pid="50" name="ItemRetentionFormula">
    <vt:lpwstr/>
  </property>
  <property fmtid="{D5CDD505-2E9C-101B-9397-08002B2CF9AE}" pid="51" name="TaxKeyword">
    <vt:lpwstr>1075;#Financial|e4d5cb1b-b2a2-4f95-9151-105f1d5620c8;#1074;#FLIPL|c5159ea6-0d8d-4727-8983-c63c06a53880;#1073;#Liability|2c992efc-7d02-448c-bdb6-1e0b28f48ba7;#1072;#FLIPL Logistics|d2044083-d6ee-4607-a171-01249f4b9a45</vt:lpwstr>
  </property>
  <property fmtid="{D5CDD505-2E9C-101B-9397-08002B2CF9AE}" pid="52" name="Offices">
    <vt:lpwstr>USACE Logistics Activity (ULA)</vt:lpwstr>
  </property>
  <property fmtid="{D5CDD505-2E9C-101B-9397-08002B2CF9AE}" pid="53" name="QMSKeywords0">
    <vt:lpwstr>1991;#Logistics|a738272a-12b0-40bf-a248-648c613c83c1</vt:lpwstr>
  </property>
  <property fmtid="{D5CDD505-2E9C-101B-9397-08002B2CF9AE}" pid="54" name="QMSSubfunctions">
    <vt:lpwstr/>
  </property>
  <property fmtid="{D5CDD505-2E9C-101B-9397-08002B2CF9AE}" pid="55" name="SubFunctions0">
    <vt:lpwstr/>
  </property>
  <property fmtid="{D5CDD505-2E9C-101B-9397-08002B2CF9AE}" pid="56" name="cfbf085b86424108a406af8ffddf0c0f">
    <vt:lpwstr/>
  </property>
  <property fmtid="{D5CDD505-2E9C-101B-9397-08002B2CF9AE}" pid="57" name="fb60be51899a4dd5b0528c7924231087">
    <vt:lpwstr/>
  </property>
  <property fmtid="{D5CDD505-2E9C-101B-9397-08002B2CF9AE}" pid="58" name="Primary COP">
    <vt:lpwstr>Logistics</vt:lpwstr>
  </property>
  <property fmtid="{D5CDD505-2E9C-101B-9397-08002B2CF9AE}" pid="59" name="CMDLocation0">
    <vt:lpwstr>6;#HQ - USACE|18c0fc6a-71cd-4ff6-8a29-ea6027f19725</vt:lpwstr>
  </property>
  <property fmtid="{D5CDD505-2E9C-101B-9397-08002B2CF9AE}" pid="60" name="d2990f36c3ab4500878244c8a304fc87">
    <vt:lpwstr>Logistics|a738272a-12b0-40bf-a248-648c613c83c1</vt:lpwstr>
  </property>
  <property fmtid="{D5CDD505-2E9C-101B-9397-08002B2CF9AE}" pid="61" name="QMSPOC">
    <vt:lpwstr/>
  </property>
  <property fmtid="{D5CDD505-2E9C-101B-9397-08002B2CF9AE}" pid="62" name="o7167e73b8724b7bbf91ed3987bef88f">
    <vt:lpwstr>HQ - USACE|18c0fc6a-71cd-4ff6-8a29-ea6027f19725</vt:lpwstr>
  </property>
  <property fmtid="{D5CDD505-2E9C-101B-9397-08002B2CF9AE}" pid="63" name="ProcessNumber0">
    <vt:lpwstr>29000 Logistics</vt:lpwstr>
  </property>
  <property fmtid="{D5CDD505-2E9C-101B-9397-08002B2CF9AE}" pid="64" name="POC">
    <vt:lpwstr>184;#Lindsey, Linn C ULA@LAC</vt:lpwstr>
  </property>
  <property fmtid="{D5CDD505-2E9C-101B-9397-08002B2CF9AE}" pid="65" name="QMS Status0">
    <vt:lpwstr>Published</vt:lpwstr>
  </property>
  <property fmtid="{D5CDD505-2E9C-101B-9397-08002B2CF9AE}" pid="66" name="QMSStatus">
    <vt:lpwstr>Published</vt:lpwstr>
  </property>
</Properties>
</file>